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A2" w:rsidRPr="00814BD4" w:rsidRDefault="00204D5A" w:rsidP="00204D5A">
      <w:pPr>
        <w:pStyle w:val="NoSpacing"/>
        <w:rPr>
          <w:rFonts w:asciiTheme="minorHAnsi" w:hAnsiTheme="minorHAnsi" w:cstheme="minorHAnsi"/>
          <w:b/>
          <w:sz w:val="26"/>
          <w:szCs w:val="26"/>
        </w:rPr>
      </w:pPr>
      <w:r w:rsidRPr="00814BD4">
        <w:rPr>
          <w:rFonts w:asciiTheme="minorHAnsi" w:hAnsiTheme="minorHAnsi" w:cstheme="minorHAnsi"/>
          <w:b/>
          <w:sz w:val="26"/>
          <w:szCs w:val="26"/>
        </w:rPr>
        <w:t>The industrial logging of nativ</w:t>
      </w:r>
      <w:r w:rsidR="0063732B">
        <w:rPr>
          <w:rFonts w:asciiTheme="minorHAnsi" w:hAnsiTheme="minorHAnsi" w:cstheme="minorHAnsi"/>
          <w:b/>
          <w:sz w:val="26"/>
          <w:szCs w:val="26"/>
        </w:rPr>
        <w:t xml:space="preserve">e forests and woodlands </w:t>
      </w:r>
      <w:r w:rsidRPr="00814BD4">
        <w:rPr>
          <w:rFonts w:asciiTheme="minorHAnsi" w:hAnsiTheme="minorHAnsi" w:cstheme="minorHAnsi"/>
          <w:b/>
          <w:sz w:val="26"/>
          <w:szCs w:val="26"/>
        </w:rPr>
        <w:t>us</w:t>
      </w:r>
      <w:r w:rsidR="0063732B">
        <w:rPr>
          <w:rFonts w:asciiTheme="minorHAnsi" w:hAnsiTheme="minorHAnsi" w:cstheme="minorHAnsi"/>
          <w:b/>
          <w:sz w:val="26"/>
          <w:szCs w:val="26"/>
        </w:rPr>
        <w:t>ing</w:t>
      </w:r>
      <w:r w:rsidRPr="00814BD4">
        <w:rPr>
          <w:rFonts w:asciiTheme="minorHAnsi" w:hAnsiTheme="minorHAnsi" w:cstheme="minorHAnsi"/>
          <w:b/>
          <w:sz w:val="26"/>
          <w:szCs w:val="26"/>
        </w:rPr>
        <w:t xml:space="preserve"> forest biomass as a fossil fuel substitute is </w:t>
      </w:r>
      <w:r w:rsidR="0074000F" w:rsidRPr="00814BD4">
        <w:rPr>
          <w:rFonts w:asciiTheme="minorHAnsi" w:hAnsiTheme="minorHAnsi" w:cstheme="minorHAnsi"/>
          <w:b/>
          <w:sz w:val="26"/>
          <w:szCs w:val="26"/>
        </w:rPr>
        <w:t>disastrous</w:t>
      </w:r>
      <w:r w:rsidRPr="00814BD4">
        <w:rPr>
          <w:rFonts w:asciiTheme="minorHAnsi" w:hAnsiTheme="minorHAnsi" w:cstheme="minorHAnsi"/>
          <w:b/>
          <w:sz w:val="26"/>
          <w:szCs w:val="26"/>
        </w:rPr>
        <w:t xml:space="preserve"> for climate and biodiversity and should end immediately.</w:t>
      </w:r>
    </w:p>
    <w:p w:rsidR="00204D5A" w:rsidRPr="0074000F" w:rsidRDefault="00204D5A" w:rsidP="00204D5A">
      <w:pPr>
        <w:pStyle w:val="NoSpacing"/>
        <w:rPr>
          <w:rFonts w:asciiTheme="minorHAnsi" w:hAnsiTheme="minorHAnsi" w:cstheme="minorHAnsi"/>
        </w:rPr>
      </w:pPr>
    </w:p>
    <w:p w:rsidR="00CB763F" w:rsidRDefault="00CB763F" w:rsidP="00204D5A">
      <w:pPr>
        <w:pStyle w:val="NoSpacing"/>
        <w:rPr>
          <w:rFonts w:asciiTheme="minorHAnsi" w:hAnsiTheme="minorHAnsi" w:cstheme="minorHAnsi"/>
          <w:b/>
        </w:rPr>
        <w:sectPr w:rsidR="00CB763F" w:rsidSect="00BC556C">
          <w:endnotePr>
            <w:numFmt w:val="decimal"/>
          </w:endnotePr>
          <w:pgSz w:w="11906" w:h="16838"/>
          <w:pgMar w:top="851" w:right="1077" w:bottom="851" w:left="1077" w:header="709" w:footer="709" w:gutter="0"/>
          <w:cols w:space="708"/>
          <w:docGrid w:linePitch="360"/>
        </w:sectPr>
      </w:pPr>
    </w:p>
    <w:p w:rsidR="00204D5A" w:rsidRPr="0074000F" w:rsidRDefault="00204D5A" w:rsidP="0063732B">
      <w:pPr>
        <w:pStyle w:val="NoSpacing"/>
        <w:jc w:val="both"/>
        <w:rPr>
          <w:rFonts w:asciiTheme="minorHAnsi" w:hAnsiTheme="minorHAnsi" w:cstheme="minorHAnsi"/>
        </w:rPr>
      </w:pPr>
      <w:r w:rsidRPr="0074000F">
        <w:rPr>
          <w:rFonts w:asciiTheme="minorHAnsi" w:hAnsiTheme="minorHAnsi" w:cstheme="minorHAnsi"/>
          <w:b/>
        </w:rPr>
        <w:lastRenderedPageBreak/>
        <w:t>Introduction to the evidence</w:t>
      </w:r>
      <w:r w:rsidRPr="0074000F">
        <w:rPr>
          <w:rFonts w:asciiTheme="minorHAnsi" w:hAnsiTheme="minorHAnsi" w:cstheme="minorHAnsi"/>
        </w:rPr>
        <w:t>:  The Paris Climate Agreement that seeks to restrict global warming to no more</w:t>
      </w:r>
      <w:r w:rsidR="001B0C39">
        <w:rPr>
          <w:rFonts w:asciiTheme="minorHAnsi" w:hAnsiTheme="minorHAnsi" w:cstheme="minorHAnsi"/>
        </w:rPr>
        <w:t xml:space="preserve"> than 1.5</w:t>
      </w:r>
      <w:r w:rsidR="001B0C39" w:rsidRPr="001B0C39">
        <w:rPr>
          <w:rFonts w:asciiTheme="minorHAnsi" w:hAnsiTheme="minorHAnsi" w:cstheme="minorHAnsi"/>
          <w:vertAlign w:val="superscript"/>
        </w:rPr>
        <w:t>O</w:t>
      </w:r>
      <w:r w:rsidR="00E81AB4">
        <w:rPr>
          <w:rFonts w:asciiTheme="minorHAnsi" w:hAnsiTheme="minorHAnsi" w:cstheme="minorHAnsi"/>
        </w:rPr>
        <w:t xml:space="preserve"> </w:t>
      </w:r>
      <w:r w:rsidR="001B0C39">
        <w:rPr>
          <w:rFonts w:asciiTheme="minorHAnsi" w:hAnsiTheme="minorHAnsi" w:cstheme="minorHAnsi"/>
        </w:rPr>
        <w:t xml:space="preserve">C </w:t>
      </w:r>
      <w:r w:rsidR="00E81AB4">
        <w:rPr>
          <w:rFonts w:asciiTheme="minorHAnsi" w:hAnsiTheme="minorHAnsi" w:cstheme="minorHAnsi"/>
        </w:rPr>
        <w:t>is not ideal,</w:t>
      </w:r>
      <w:r w:rsidR="00E81AB4">
        <w:rPr>
          <w:rStyle w:val="EndnoteReference"/>
          <w:rFonts w:asciiTheme="minorHAnsi" w:hAnsiTheme="minorHAnsi" w:cstheme="minorHAnsi"/>
        </w:rPr>
        <w:endnoteReference w:id="1"/>
      </w:r>
      <w:r w:rsidRPr="0074000F">
        <w:rPr>
          <w:rFonts w:asciiTheme="minorHAnsi" w:hAnsiTheme="minorHAnsi" w:cstheme="minorHAnsi"/>
        </w:rPr>
        <w:t xml:space="preserve"> as 1</w:t>
      </w:r>
      <w:r w:rsidR="001B0C39" w:rsidRPr="001B0C39">
        <w:rPr>
          <w:rFonts w:asciiTheme="minorHAnsi" w:hAnsiTheme="minorHAnsi" w:cstheme="minorHAnsi"/>
          <w:vertAlign w:val="superscript"/>
        </w:rPr>
        <w:t>O</w:t>
      </w:r>
      <w:r w:rsidR="001B0C39">
        <w:rPr>
          <w:rFonts w:asciiTheme="minorHAnsi" w:hAnsiTheme="minorHAnsi" w:cstheme="minorHAnsi"/>
        </w:rPr>
        <w:t xml:space="preserve"> is already too dangerous.</w:t>
      </w:r>
      <w:r w:rsidR="00E81AB4">
        <w:rPr>
          <w:rStyle w:val="EndnoteReference"/>
          <w:rFonts w:asciiTheme="minorHAnsi" w:hAnsiTheme="minorHAnsi" w:cstheme="minorHAnsi"/>
        </w:rPr>
        <w:endnoteReference w:id="2"/>
      </w:r>
      <w:r w:rsidR="00E81AB4">
        <w:rPr>
          <w:rFonts w:asciiTheme="minorHAnsi" w:hAnsiTheme="minorHAnsi" w:cstheme="minorHAnsi"/>
        </w:rPr>
        <w:t xml:space="preserve"> ‘Tipping points’</w:t>
      </w:r>
      <w:r w:rsidR="00E81AB4">
        <w:rPr>
          <w:rStyle w:val="EndnoteReference"/>
          <w:rFonts w:asciiTheme="minorHAnsi" w:hAnsiTheme="minorHAnsi" w:cstheme="minorHAnsi"/>
        </w:rPr>
        <w:endnoteReference w:id="3"/>
      </w:r>
      <w:r w:rsidR="004B03F3" w:rsidRPr="0074000F">
        <w:rPr>
          <w:rFonts w:asciiTheme="minorHAnsi" w:hAnsiTheme="minorHAnsi" w:cstheme="minorHAnsi"/>
        </w:rPr>
        <w:t xml:space="preserve"> that compound global warming (summer sea-ice-free Arctic conditions, loss of West Antarctic glaciers and a multi-metre sea-leve</w:t>
      </w:r>
      <w:r w:rsidR="00E81AB4">
        <w:rPr>
          <w:rFonts w:asciiTheme="minorHAnsi" w:hAnsiTheme="minorHAnsi" w:cstheme="minorHAnsi"/>
        </w:rPr>
        <w:t xml:space="preserve">l rise) </w:t>
      </w:r>
      <w:r w:rsidR="004B03F3" w:rsidRPr="0074000F">
        <w:rPr>
          <w:rFonts w:asciiTheme="minorHAnsi" w:hAnsiTheme="minorHAnsi" w:cstheme="minorHAnsi"/>
        </w:rPr>
        <w:t xml:space="preserve">are likely to have been </w:t>
      </w:r>
      <w:r w:rsidR="00E81AB4">
        <w:rPr>
          <w:rFonts w:asciiTheme="minorHAnsi" w:hAnsiTheme="minorHAnsi" w:cstheme="minorHAnsi"/>
        </w:rPr>
        <w:t>passed at less than 1</w:t>
      </w:r>
      <w:r w:rsidR="001B0C39" w:rsidRPr="001B0C39">
        <w:rPr>
          <w:rFonts w:asciiTheme="minorHAnsi" w:hAnsiTheme="minorHAnsi" w:cstheme="minorHAnsi"/>
          <w:vertAlign w:val="superscript"/>
        </w:rPr>
        <w:t>O</w:t>
      </w:r>
      <w:r w:rsidR="001B0C39">
        <w:rPr>
          <w:rFonts w:asciiTheme="minorHAnsi" w:hAnsiTheme="minorHAnsi" w:cstheme="minorHAnsi"/>
        </w:rPr>
        <w:t>.</w:t>
      </w:r>
      <w:r w:rsidR="00E81AB4">
        <w:rPr>
          <w:rStyle w:val="EndnoteReference"/>
          <w:rFonts w:asciiTheme="minorHAnsi" w:hAnsiTheme="minorHAnsi" w:cstheme="minorHAnsi"/>
        </w:rPr>
        <w:endnoteReference w:id="4"/>
      </w:r>
      <w:r w:rsidR="004B03F3" w:rsidRPr="0074000F">
        <w:rPr>
          <w:rFonts w:asciiTheme="minorHAnsi" w:hAnsiTheme="minorHAnsi" w:cstheme="minorHAnsi"/>
        </w:rPr>
        <w:t xml:space="preserve">  Current emission rates could activate other elements, compounding the rate</w:t>
      </w:r>
      <w:r w:rsidR="00E81AB4">
        <w:rPr>
          <w:rFonts w:asciiTheme="minorHAnsi" w:hAnsiTheme="minorHAnsi" w:cstheme="minorHAnsi"/>
        </w:rPr>
        <w:t xml:space="preserve"> and scale of temperature rise.</w:t>
      </w:r>
      <w:r w:rsidR="00E81AB4">
        <w:rPr>
          <w:rStyle w:val="EndnoteReference"/>
          <w:rFonts w:asciiTheme="minorHAnsi" w:hAnsiTheme="minorHAnsi" w:cstheme="minorHAnsi"/>
        </w:rPr>
        <w:endnoteReference w:id="5"/>
      </w:r>
      <w:r w:rsidR="00E81AB4">
        <w:rPr>
          <w:rFonts w:asciiTheme="minorHAnsi" w:hAnsiTheme="minorHAnsi" w:cstheme="minorHAnsi"/>
        </w:rPr>
        <w:t xml:space="preserve">  Our carbon debt </w:t>
      </w:r>
      <w:r w:rsidR="00E81AB4">
        <w:rPr>
          <w:rStyle w:val="EndnoteReference"/>
          <w:rFonts w:asciiTheme="minorHAnsi" w:hAnsiTheme="minorHAnsi" w:cstheme="minorHAnsi"/>
        </w:rPr>
        <w:endnoteReference w:id="6"/>
      </w:r>
      <w:r w:rsidR="004B03F3" w:rsidRPr="0074000F">
        <w:rPr>
          <w:rFonts w:asciiTheme="minorHAnsi" w:hAnsiTheme="minorHAnsi" w:cstheme="minorHAnsi"/>
        </w:rPr>
        <w:t xml:space="preserve"> is such that </w:t>
      </w:r>
      <w:r w:rsidR="00335A5F">
        <w:rPr>
          <w:rFonts w:asciiTheme="minorHAnsi" w:hAnsiTheme="minorHAnsi" w:cstheme="minorHAnsi"/>
        </w:rPr>
        <w:t xml:space="preserve">we must </w:t>
      </w:r>
      <w:r w:rsidR="004B03F3" w:rsidRPr="0074000F">
        <w:rPr>
          <w:rFonts w:asciiTheme="minorHAnsi" w:hAnsiTheme="minorHAnsi" w:cstheme="minorHAnsi"/>
        </w:rPr>
        <w:t>aim for zero greenhouse gas emissions across all</w:t>
      </w:r>
      <w:r w:rsidR="00E81AB4">
        <w:rPr>
          <w:rFonts w:asciiTheme="minorHAnsi" w:hAnsiTheme="minorHAnsi" w:cstheme="minorHAnsi"/>
        </w:rPr>
        <w:t xml:space="preserve"> sectors within the next decade.</w:t>
      </w:r>
      <w:r w:rsidR="00E81AB4">
        <w:rPr>
          <w:rStyle w:val="EndnoteReference"/>
          <w:rFonts w:asciiTheme="minorHAnsi" w:hAnsiTheme="minorHAnsi" w:cstheme="minorHAnsi"/>
        </w:rPr>
        <w:endnoteReference w:id="7"/>
      </w:r>
      <w:r w:rsidR="004B03F3" w:rsidRPr="0074000F">
        <w:rPr>
          <w:rFonts w:asciiTheme="minorHAnsi" w:hAnsiTheme="minorHAnsi" w:cstheme="minorHAnsi"/>
        </w:rPr>
        <w:t xml:space="preserve"> At the same </w:t>
      </w:r>
      <w:r w:rsidR="0074000F" w:rsidRPr="0074000F">
        <w:rPr>
          <w:rFonts w:asciiTheme="minorHAnsi" w:hAnsiTheme="minorHAnsi" w:cstheme="minorHAnsi"/>
        </w:rPr>
        <w:t>time</w:t>
      </w:r>
      <w:r w:rsidR="004B03F3" w:rsidRPr="0074000F">
        <w:rPr>
          <w:rFonts w:asciiTheme="minorHAnsi" w:hAnsiTheme="minorHAnsi" w:cstheme="minorHAnsi"/>
        </w:rPr>
        <w:t xml:space="preserve">, as much </w:t>
      </w:r>
      <w:r w:rsidR="00335A5F">
        <w:rPr>
          <w:rFonts w:asciiTheme="minorHAnsi" w:hAnsiTheme="minorHAnsi" w:cstheme="minorHAnsi"/>
        </w:rPr>
        <w:t>CO</w:t>
      </w:r>
      <w:r w:rsidR="00335A5F" w:rsidRPr="00335A5F">
        <w:rPr>
          <w:rFonts w:asciiTheme="minorHAnsi" w:hAnsiTheme="minorHAnsi" w:cstheme="minorHAnsi"/>
          <w:vertAlign w:val="subscript"/>
        </w:rPr>
        <w:t>2</w:t>
      </w:r>
      <w:r w:rsidR="00335A5F">
        <w:rPr>
          <w:rFonts w:asciiTheme="minorHAnsi" w:hAnsiTheme="minorHAnsi" w:cstheme="minorHAnsi"/>
        </w:rPr>
        <w:t xml:space="preserve"> </w:t>
      </w:r>
      <w:r w:rsidR="004B03F3" w:rsidRPr="0074000F">
        <w:rPr>
          <w:rFonts w:asciiTheme="minorHAnsi" w:hAnsiTheme="minorHAnsi" w:cstheme="minorHAnsi"/>
        </w:rPr>
        <w:t>as possible must be removed from the atmosphere, referred to a</w:t>
      </w:r>
      <w:r w:rsidR="00E81AB4">
        <w:rPr>
          <w:rFonts w:asciiTheme="minorHAnsi" w:hAnsiTheme="minorHAnsi" w:cstheme="minorHAnsi"/>
        </w:rPr>
        <w:t>s Carbon Dioxide Removal (CDR).</w:t>
      </w:r>
      <w:r w:rsidR="00E81AB4">
        <w:rPr>
          <w:rStyle w:val="EndnoteReference"/>
          <w:rFonts w:asciiTheme="minorHAnsi" w:hAnsiTheme="minorHAnsi" w:cstheme="minorHAnsi"/>
        </w:rPr>
        <w:endnoteReference w:id="8"/>
      </w:r>
      <w:r w:rsidR="004B03F3" w:rsidRPr="0074000F">
        <w:rPr>
          <w:rFonts w:asciiTheme="minorHAnsi" w:hAnsiTheme="minorHAnsi" w:cstheme="minorHAnsi"/>
        </w:rPr>
        <w:t xml:space="preserve">  Natural systems are most efficient for CDR </w:t>
      </w:r>
      <w:r w:rsidR="00335A5F">
        <w:rPr>
          <w:rFonts w:asciiTheme="minorHAnsi" w:hAnsiTheme="minorHAnsi" w:cstheme="minorHAnsi"/>
        </w:rPr>
        <w:t xml:space="preserve">so </w:t>
      </w:r>
      <w:r w:rsidR="004B03F3" w:rsidRPr="0074000F">
        <w:rPr>
          <w:rFonts w:asciiTheme="minorHAnsi" w:hAnsiTheme="minorHAnsi" w:cstheme="minorHAnsi"/>
        </w:rPr>
        <w:t xml:space="preserve">must be protected from climate change </w:t>
      </w:r>
      <w:r w:rsidR="001B0C39">
        <w:rPr>
          <w:rFonts w:asciiTheme="minorHAnsi" w:hAnsiTheme="minorHAnsi" w:cstheme="minorHAnsi"/>
        </w:rPr>
        <w:t>impact so th</w:t>
      </w:r>
      <w:r w:rsidR="00335A5F">
        <w:rPr>
          <w:rFonts w:asciiTheme="minorHAnsi" w:hAnsiTheme="minorHAnsi" w:cstheme="minorHAnsi"/>
        </w:rPr>
        <w:t>at th</w:t>
      </w:r>
      <w:r w:rsidR="001B0C39">
        <w:rPr>
          <w:rFonts w:asciiTheme="minorHAnsi" w:hAnsiTheme="minorHAnsi" w:cstheme="minorHAnsi"/>
        </w:rPr>
        <w:t xml:space="preserve">ey can </w:t>
      </w:r>
      <w:r w:rsidR="004B03F3" w:rsidRPr="0074000F">
        <w:rPr>
          <w:rFonts w:asciiTheme="minorHAnsi" w:hAnsiTheme="minorHAnsi" w:cstheme="minorHAnsi"/>
        </w:rPr>
        <w:t xml:space="preserve">continue </w:t>
      </w:r>
      <w:r w:rsidR="001B0C39">
        <w:rPr>
          <w:rFonts w:asciiTheme="minorHAnsi" w:hAnsiTheme="minorHAnsi" w:cstheme="minorHAnsi"/>
        </w:rPr>
        <w:t xml:space="preserve">to </w:t>
      </w:r>
      <w:r w:rsidR="00335A5F">
        <w:rPr>
          <w:rFonts w:asciiTheme="minorHAnsi" w:hAnsiTheme="minorHAnsi" w:cstheme="minorHAnsi"/>
        </w:rPr>
        <w:t xml:space="preserve">perform this </w:t>
      </w:r>
      <w:r w:rsidR="001B0C39">
        <w:rPr>
          <w:rFonts w:asciiTheme="minorHAnsi" w:hAnsiTheme="minorHAnsi" w:cstheme="minorHAnsi"/>
        </w:rPr>
        <w:t>function</w:t>
      </w:r>
      <w:r w:rsidR="004B03F3" w:rsidRPr="0074000F">
        <w:rPr>
          <w:rFonts w:asciiTheme="minorHAnsi" w:hAnsiTheme="minorHAnsi" w:cstheme="minorHAnsi"/>
        </w:rPr>
        <w:t xml:space="preserve">.  Where possible their resilience to climate impact </w:t>
      </w:r>
      <w:r w:rsidR="004B03F3" w:rsidRPr="0074000F">
        <w:rPr>
          <w:rFonts w:asciiTheme="minorHAnsi" w:hAnsiTheme="minorHAnsi" w:cstheme="minorHAnsi"/>
        </w:rPr>
        <w:lastRenderedPageBreak/>
        <w:t>should be enha</w:t>
      </w:r>
      <w:r w:rsidR="00E81AB4">
        <w:rPr>
          <w:rFonts w:asciiTheme="minorHAnsi" w:hAnsiTheme="minorHAnsi" w:cstheme="minorHAnsi"/>
        </w:rPr>
        <w:t>nced by ecological restoration.</w:t>
      </w:r>
      <w:r w:rsidR="00E81AB4">
        <w:rPr>
          <w:rStyle w:val="EndnoteReference"/>
          <w:rFonts w:asciiTheme="minorHAnsi" w:hAnsiTheme="minorHAnsi" w:cstheme="minorHAnsi"/>
        </w:rPr>
        <w:endnoteReference w:id="9"/>
      </w:r>
    </w:p>
    <w:p w:rsidR="00335A5F" w:rsidRDefault="00335A5F" w:rsidP="0063732B">
      <w:pPr>
        <w:pStyle w:val="NoSpacing"/>
        <w:jc w:val="both"/>
        <w:rPr>
          <w:rFonts w:asciiTheme="minorHAnsi" w:hAnsiTheme="minorHAnsi" w:cstheme="minorHAnsi"/>
        </w:rPr>
      </w:pPr>
    </w:p>
    <w:p w:rsidR="004B03F3" w:rsidRPr="0074000F" w:rsidRDefault="004B03F3" w:rsidP="0063732B">
      <w:pPr>
        <w:pStyle w:val="NoSpacing"/>
        <w:jc w:val="both"/>
        <w:rPr>
          <w:rFonts w:asciiTheme="minorHAnsi" w:hAnsiTheme="minorHAnsi" w:cstheme="minorHAnsi"/>
        </w:rPr>
      </w:pPr>
      <w:r w:rsidRPr="0074000F">
        <w:rPr>
          <w:rFonts w:asciiTheme="minorHAnsi" w:hAnsiTheme="minorHAnsi" w:cstheme="minorHAnsi"/>
        </w:rPr>
        <w:t>Emission reduction strategies focused on the energy and</w:t>
      </w:r>
      <w:r w:rsidR="00427B1E">
        <w:rPr>
          <w:rFonts w:asciiTheme="minorHAnsi" w:hAnsiTheme="minorHAnsi" w:cstheme="minorHAnsi"/>
        </w:rPr>
        <w:t>, more recently,</w:t>
      </w:r>
      <w:r w:rsidRPr="0074000F">
        <w:rPr>
          <w:rFonts w:asciiTheme="minorHAnsi" w:hAnsiTheme="minorHAnsi" w:cstheme="minorHAnsi"/>
        </w:rPr>
        <w:t xml:space="preserve"> transport sectors </w:t>
      </w:r>
      <w:r w:rsidR="00335A5F">
        <w:rPr>
          <w:rFonts w:asciiTheme="minorHAnsi" w:hAnsiTheme="minorHAnsi" w:cstheme="minorHAnsi"/>
        </w:rPr>
        <w:t xml:space="preserve">make </w:t>
      </w:r>
      <w:r w:rsidR="00427B1E">
        <w:rPr>
          <w:rFonts w:asciiTheme="minorHAnsi" w:hAnsiTheme="minorHAnsi" w:cstheme="minorHAnsi"/>
        </w:rPr>
        <w:t>the</w:t>
      </w:r>
      <w:r w:rsidRPr="0074000F">
        <w:rPr>
          <w:rFonts w:asciiTheme="minorHAnsi" w:hAnsiTheme="minorHAnsi" w:cstheme="minorHAnsi"/>
        </w:rPr>
        <w:t xml:space="preserve"> erroneous assumption that wood combustion </w:t>
      </w:r>
      <w:r w:rsidR="00335A5F">
        <w:rPr>
          <w:rFonts w:asciiTheme="minorHAnsi" w:hAnsiTheme="minorHAnsi" w:cstheme="minorHAnsi"/>
        </w:rPr>
        <w:t xml:space="preserve">can be </w:t>
      </w:r>
      <w:r w:rsidRPr="0074000F">
        <w:rPr>
          <w:rFonts w:asciiTheme="minorHAnsi" w:hAnsiTheme="minorHAnsi" w:cstheme="minorHAnsi"/>
        </w:rPr>
        <w:t>a carbon neutral fossil fuel subs</w:t>
      </w:r>
      <w:r w:rsidR="00E81AB4">
        <w:rPr>
          <w:rFonts w:asciiTheme="minorHAnsi" w:hAnsiTheme="minorHAnsi" w:cstheme="minorHAnsi"/>
        </w:rPr>
        <w:t>titute ‘because trees regrow’.</w:t>
      </w:r>
      <w:r w:rsidR="00E81AB4">
        <w:rPr>
          <w:rStyle w:val="EndnoteReference"/>
          <w:rFonts w:asciiTheme="minorHAnsi" w:hAnsiTheme="minorHAnsi" w:cstheme="minorHAnsi"/>
        </w:rPr>
        <w:endnoteReference w:id="10"/>
      </w:r>
      <w:r w:rsidRPr="0074000F">
        <w:rPr>
          <w:rFonts w:asciiTheme="minorHAnsi" w:hAnsiTheme="minorHAnsi" w:cstheme="minorHAnsi"/>
        </w:rPr>
        <w:t xml:space="preserve">  </w:t>
      </w:r>
      <w:r w:rsidR="00335A5F">
        <w:rPr>
          <w:rFonts w:asciiTheme="minorHAnsi" w:hAnsiTheme="minorHAnsi" w:cstheme="minorHAnsi"/>
        </w:rPr>
        <w:t xml:space="preserve">That </w:t>
      </w:r>
      <w:r w:rsidRPr="0074000F">
        <w:rPr>
          <w:rFonts w:asciiTheme="minorHAnsi" w:hAnsiTheme="minorHAnsi" w:cstheme="minorHAnsi"/>
        </w:rPr>
        <w:t xml:space="preserve">ignores the need for immediate emission reduction.  Reabsorption of released carbon </w:t>
      </w:r>
      <w:r w:rsidR="00427B1E">
        <w:rPr>
          <w:rFonts w:asciiTheme="minorHAnsi" w:hAnsiTheme="minorHAnsi" w:cstheme="minorHAnsi"/>
        </w:rPr>
        <w:t xml:space="preserve">requires a minimum of decades and often </w:t>
      </w:r>
      <w:r w:rsidRPr="0074000F">
        <w:rPr>
          <w:rFonts w:asciiTheme="minorHAnsi" w:hAnsiTheme="minorHAnsi" w:cstheme="minorHAnsi"/>
        </w:rPr>
        <w:t>centuries a</w:t>
      </w:r>
      <w:r w:rsidR="00E81AB4">
        <w:rPr>
          <w:rFonts w:asciiTheme="minorHAnsi" w:hAnsiTheme="minorHAnsi" w:cstheme="minorHAnsi"/>
        </w:rPr>
        <w:t xml:space="preserve">s forests </w:t>
      </w:r>
      <w:r w:rsidR="00335A5F">
        <w:rPr>
          <w:rFonts w:asciiTheme="minorHAnsi" w:hAnsiTheme="minorHAnsi" w:cstheme="minorHAnsi"/>
        </w:rPr>
        <w:t xml:space="preserve">must </w:t>
      </w:r>
      <w:r w:rsidR="00427B1E">
        <w:rPr>
          <w:rFonts w:asciiTheme="minorHAnsi" w:hAnsiTheme="minorHAnsi" w:cstheme="minorHAnsi"/>
        </w:rPr>
        <w:t xml:space="preserve">fully </w:t>
      </w:r>
      <w:r w:rsidR="00E81AB4">
        <w:rPr>
          <w:rFonts w:asciiTheme="minorHAnsi" w:hAnsiTheme="minorHAnsi" w:cstheme="minorHAnsi"/>
        </w:rPr>
        <w:t>recover</w:t>
      </w:r>
      <w:r w:rsidR="00427B1E">
        <w:rPr>
          <w:rFonts w:asciiTheme="minorHAnsi" w:hAnsiTheme="minorHAnsi" w:cstheme="minorHAnsi"/>
        </w:rPr>
        <w:t xml:space="preserve"> to re-attain maximum carbon sequestration and storage capacity.</w:t>
      </w:r>
      <w:r w:rsidR="00E81AB4">
        <w:rPr>
          <w:rStyle w:val="EndnoteReference"/>
          <w:rFonts w:asciiTheme="minorHAnsi" w:hAnsiTheme="minorHAnsi" w:cstheme="minorHAnsi"/>
        </w:rPr>
        <w:endnoteReference w:id="11"/>
      </w:r>
      <w:r w:rsidR="00427B1E">
        <w:rPr>
          <w:rFonts w:asciiTheme="minorHAnsi" w:hAnsiTheme="minorHAnsi" w:cstheme="minorHAnsi"/>
        </w:rPr>
        <w:t xml:space="preserve"> I</w:t>
      </w:r>
      <w:r w:rsidRPr="0074000F">
        <w:rPr>
          <w:rFonts w:asciiTheme="minorHAnsi" w:hAnsiTheme="minorHAnsi" w:cstheme="minorHAnsi"/>
        </w:rPr>
        <w:t>n some instances fo</w:t>
      </w:r>
      <w:r w:rsidR="00E81AB4">
        <w:rPr>
          <w:rFonts w:asciiTheme="minorHAnsi" w:hAnsiTheme="minorHAnsi" w:cstheme="minorHAnsi"/>
        </w:rPr>
        <w:t xml:space="preserve">rests </w:t>
      </w:r>
      <w:r w:rsidR="00427B1E">
        <w:rPr>
          <w:rFonts w:asciiTheme="minorHAnsi" w:hAnsiTheme="minorHAnsi" w:cstheme="minorHAnsi"/>
        </w:rPr>
        <w:t xml:space="preserve">will </w:t>
      </w:r>
      <w:r w:rsidR="00E81AB4">
        <w:rPr>
          <w:rFonts w:asciiTheme="minorHAnsi" w:hAnsiTheme="minorHAnsi" w:cstheme="minorHAnsi"/>
        </w:rPr>
        <w:t>not fully recover</w:t>
      </w:r>
      <w:r w:rsidR="00427B1E">
        <w:rPr>
          <w:rFonts w:asciiTheme="minorHAnsi" w:hAnsiTheme="minorHAnsi" w:cstheme="minorHAnsi"/>
        </w:rPr>
        <w:t xml:space="preserve"> from industrial logging</w:t>
      </w:r>
      <w:r w:rsidR="00E81AB4">
        <w:rPr>
          <w:rFonts w:asciiTheme="minorHAnsi" w:hAnsiTheme="minorHAnsi" w:cstheme="minorHAnsi"/>
        </w:rPr>
        <w:t>.</w:t>
      </w:r>
      <w:r w:rsidR="00E81AB4">
        <w:rPr>
          <w:rStyle w:val="EndnoteReference"/>
          <w:rFonts w:asciiTheme="minorHAnsi" w:hAnsiTheme="minorHAnsi" w:cstheme="minorHAnsi"/>
        </w:rPr>
        <w:endnoteReference w:id="12"/>
      </w:r>
      <w:r w:rsidRPr="0074000F">
        <w:rPr>
          <w:rFonts w:asciiTheme="minorHAnsi" w:hAnsiTheme="minorHAnsi" w:cstheme="minorHAnsi"/>
        </w:rPr>
        <w:t xml:space="preserve">  Trees logged for biomass </w:t>
      </w:r>
      <w:r w:rsidR="0095621D">
        <w:rPr>
          <w:rFonts w:asciiTheme="minorHAnsi" w:hAnsiTheme="minorHAnsi" w:cstheme="minorHAnsi"/>
        </w:rPr>
        <w:t xml:space="preserve">combustion </w:t>
      </w:r>
      <w:r w:rsidR="00060A03">
        <w:rPr>
          <w:rFonts w:asciiTheme="minorHAnsi" w:hAnsiTheme="minorHAnsi" w:cstheme="minorHAnsi"/>
        </w:rPr>
        <w:t>which</w:t>
      </w:r>
      <w:r w:rsidR="0095621D">
        <w:rPr>
          <w:rFonts w:asciiTheme="minorHAnsi" w:hAnsiTheme="minorHAnsi" w:cstheme="minorHAnsi"/>
        </w:rPr>
        <w:t xml:space="preserve"> </w:t>
      </w:r>
      <w:r w:rsidRPr="0074000F">
        <w:rPr>
          <w:rFonts w:asciiTheme="minorHAnsi" w:hAnsiTheme="minorHAnsi" w:cstheme="minorHAnsi"/>
        </w:rPr>
        <w:t>immediately releas</w:t>
      </w:r>
      <w:r w:rsidR="00060A03">
        <w:rPr>
          <w:rFonts w:asciiTheme="minorHAnsi" w:hAnsiTheme="minorHAnsi" w:cstheme="minorHAnsi"/>
        </w:rPr>
        <w:t>e</w:t>
      </w:r>
      <w:r w:rsidR="0095621D">
        <w:rPr>
          <w:rFonts w:asciiTheme="minorHAnsi" w:hAnsiTheme="minorHAnsi" w:cstheme="minorHAnsi"/>
        </w:rPr>
        <w:t>s</w:t>
      </w:r>
      <w:r w:rsidRPr="0074000F">
        <w:rPr>
          <w:rFonts w:asciiTheme="minorHAnsi" w:hAnsiTheme="minorHAnsi" w:cstheme="minorHAnsi"/>
        </w:rPr>
        <w:t xml:space="preserve"> carbon</w:t>
      </w:r>
      <w:r w:rsidR="0095621D">
        <w:rPr>
          <w:rFonts w:asciiTheme="minorHAnsi" w:hAnsiTheme="minorHAnsi" w:cstheme="minorHAnsi"/>
        </w:rPr>
        <w:t xml:space="preserve"> to atmosphere</w:t>
      </w:r>
      <w:r w:rsidR="00AE15C1" w:rsidRPr="0074000F">
        <w:rPr>
          <w:rFonts w:asciiTheme="minorHAnsi" w:hAnsiTheme="minorHAnsi" w:cstheme="minorHAnsi"/>
        </w:rPr>
        <w:t>,</w:t>
      </w:r>
      <w:r w:rsidRPr="0074000F">
        <w:rPr>
          <w:rFonts w:asciiTheme="minorHAnsi" w:hAnsiTheme="minorHAnsi" w:cstheme="minorHAnsi"/>
        </w:rPr>
        <w:t xml:space="preserve"> </w:t>
      </w:r>
      <w:r w:rsidR="00060A03">
        <w:rPr>
          <w:rFonts w:asciiTheme="minorHAnsi" w:hAnsiTheme="minorHAnsi" w:cstheme="minorHAnsi"/>
        </w:rPr>
        <w:t xml:space="preserve">would have </w:t>
      </w:r>
      <w:r w:rsidRPr="0074000F">
        <w:rPr>
          <w:rFonts w:asciiTheme="minorHAnsi" w:hAnsiTheme="minorHAnsi" w:cstheme="minorHAnsi"/>
        </w:rPr>
        <w:t>continue</w:t>
      </w:r>
      <w:r w:rsidR="00060A03">
        <w:rPr>
          <w:rFonts w:asciiTheme="minorHAnsi" w:hAnsiTheme="minorHAnsi" w:cstheme="minorHAnsi"/>
        </w:rPr>
        <w:t>d</w:t>
      </w:r>
      <w:r w:rsidRPr="0074000F">
        <w:rPr>
          <w:rFonts w:asciiTheme="minorHAnsi" w:hAnsiTheme="minorHAnsi" w:cstheme="minorHAnsi"/>
        </w:rPr>
        <w:t xml:space="preserve"> to capture and store </w:t>
      </w:r>
      <w:r w:rsidR="0095621D">
        <w:rPr>
          <w:rFonts w:asciiTheme="minorHAnsi" w:hAnsiTheme="minorHAnsi" w:cstheme="minorHAnsi"/>
        </w:rPr>
        <w:t xml:space="preserve">it </w:t>
      </w:r>
      <w:r w:rsidRPr="0074000F">
        <w:rPr>
          <w:rFonts w:asciiTheme="minorHAnsi" w:hAnsiTheme="minorHAnsi" w:cstheme="minorHAnsi"/>
        </w:rPr>
        <w:t>in increasing volumes</w:t>
      </w:r>
      <w:r w:rsidR="00060A03">
        <w:rPr>
          <w:rFonts w:asciiTheme="minorHAnsi" w:hAnsiTheme="minorHAnsi" w:cstheme="minorHAnsi"/>
        </w:rPr>
        <w:t xml:space="preserve"> </w:t>
      </w:r>
      <w:r w:rsidR="00335A5F">
        <w:rPr>
          <w:rFonts w:asciiTheme="minorHAnsi" w:hAnsiTheme="minorHAnsi" w:cstheme="minorHAnsi"/>
        </w:rPr>
        <w:t>had they been left to mature</w:t>
      </w:r>
      <w:r w:rsidR="00AE15C1" w:rsidRPr="0074000F">
        <w:rPr>
          <w:rFonts w:asciiTheme="minorHAnsi" w:hAnsiTheme="minorHAnsi" w:cstheme="minorHAnsi"/>
        </w:rPr>
        <w:t>, for t</w:t>
      </w:r>
      <w:r w:rsidRPr="0074000F">
        <w:rPr>
          <w:rFonts w:asciiTheme="minorHAnsi" w:hAnsiTheme="minorHAnsi" w:cstheme="minorHAnsi"/>
        </w:rPr>
        <w:t>he rate of tree carbon accumulation increase</w:t>
      </w:r>
      <w:r w:rsidR="00E81AB4">
        <w:rPr>
          <w:rFonts w:asciiTheme="minorHAnsi" w:hAnsiTheme="minorHAnsi" w:cstheme="minorHAnsi"/>
        </w:rPr>
        <w:t>s continuously with tree size.</w:t>
      </w:r>
      <w:r w:rsidR="00E81AB4">
        <w:rPr>
          <w:rStyle w:val="EndnoteReference"/>
          <w:rFonts w:asciiTheme="minorHAnsi" w:hAnsiTheme="minorHAnsi" w:cstheme="minorHAnsi"/>
        </w:rPr>
        <w:endnoteReference w:id="13"/>
      </w:r>
    </w:p>
    <w:p w:rsidR="00CB763F" w:rsidRDefault="00CB763F" w:rsidP="0063732B">
      <w:pPr>
        <w:pStyle w:val="NoSpacing"/>
        <w:jc w:val="both"/>
        <w:rPr>
          <w:rFonts w:asciiTheme="minorHAnsi" w:hAnsiTheme="minorHAnsi" w:cstheme="minorHAnsi"/>
        </w:rPr>
        <w:sectPr w:rsidR="00CB763F" w:rsidSect="00BC556C">
          <w:endnotePr>
            <w:numFmt w:val="decimal"/>
          </w:endnotePr>
          <w:type w:val="continuous"/>
          <w:pgSz w:w="11906" w:h="16838"/>
          <w:pgMar w:top="851" w:right="1077" w:bottom="851" w:left="1077" w:header="708" w:footer="708" w:gutter="0"/>
          <w:cols w:num="2" w:space="624"/>
          <w:docGrid w:linePitch="360"/>
        </w:sectPr>
      </w:pPr>
    </w:p>
    <w:p w:rsidR="00B55BED" w:rsidRDefault="00B55BED" w:rsidP="00204D5A">
      <w:pPr>
        <w:pStyle w:val="NoSpacing"/>
        <w:rPr>
          <w:rFonts w:asciiTheme="minorHAnsi" w:hAnsiTheme="minorHAnsi" w:cstheme="minorHAnsi"/>
        </w:rPr>
      </w:pPr>
    </w:p>
    <w:p w:rsidR="0063732B" w:rsidRDefault="0063732B" w:rsidP="00204D5A">
      <w:pPr>
        <w:pStyle w:val="NoSpacing"/>
        <w:rPr>
          <w:rFonts w:asciiTheme="minorHAnsi" w:hAnsiTheme="minorHAnsi" w:cstheme="minorHAnsi"/>
          <w:b/>
        </w:rPr>
        <w:sectPr w:rsidR="0063732B" w:rsidSect="00BC556C">
          <w:endnotePr>
            <w:numFmt w:val="decimal"/>
          </w:endnotePr>
          <w:type w:val="continuous"/>
          <w:pgSz w:w="11906" w:h="16838"/>
          <w:pgMar w:top="851" w:right="1077" w:bottom="851" w:left="1077" w:header="708" w:footer="708" w:gutter="0"/>
          <w:cols w:num="2" w:space="737"/>
          <w:docGrid w:linePitch="360"/>
        </w:sectPr>
      </w:pPr>
    </w:p>
    <w:p w:rsidR="009B72A8" w:rsidRPr="00CB763F" w:rsidRDefault="00B55BED" w:rsidP="00204D5A">
      <w:pPr>
        <w:pStyle w:val="NoSpacing"/>
        <w:rPr>
          <w:rFonts w:asciiTheme="minorHAnsi" w:hAnsiTheme="minorHAnsi" w:cstheme="minorHAnsi"/>
          <w:b/>
        </w:rPr>
      </w:pPr>
      <w:r>
        <w:rPr>
          <w:rFonts w:asciiTheme="minorHAnsi" w:hAnsiTheme="minorHAnsi" w:cstheme="minorHAnsi"/>
          <w:b/>
        </w:rPr>
        <w:lastRenderedPageBreak/>
        <w:t>Scientific warning</w:t>
      </w:r>
      <w:r w:rsidR="009B72A8" w:rsidRPr="00CB763F">
        <w:rPr>
          <w:rFonts w:asciiTheme="minorHAnsi" w:hAnsiTheme="minorHAnsi" w:cstheme="minorHAnsi"/>
          <w:b/>
        </w:rPr>
        <w:t xml:space="preserve"> of forest bioenergy</w:t>
      </w:r>
      <w:r>
        <w:rPr>
          <w:rFonts w:asciiTheme="minorHAnsi" w:hAnsiTheme="minorHAnsi" w:cstheme="minorHAnsi"/>
          <w:b/>
        </w:rPr>
        <w:t xml:space="preserve"> danger has been </w:t>
      </w:r>
      <w:r w:rsidR="009B72A8" w:rsidRPr="00CB763F">
        <w:rPr>
          <w:rFonts w:asciiTheme="minorHAnsi" w:hAnsiTheme="minorHAnsi" w:cstheme="minorHAnsi"/>
          <w:b/>
        </w:rPr>
        <w:t>unheard, or unheeded</w:t>
      </w:r>
      <w:r>
        <w:rPr>
          <w:rFonts w:asciiTheme="minorHAnsi" w:hAnsiTheme="minorHAnsi" w:cstheme="minorHAnsi"/>
          <w:b/>
        </w:rPr>
        <w:t xml:space="preserve">. </w:t>
      </w:r>
      <w:r>
        <w:rPr>
          <w:rStyle w:val="EndnoteReference"/>
          <w:rFonts w:asciiTheme="minorHAnsi" w:hAnsiTheme="minorHAnsi" w:cstheme="minorHAnsi"/>
          <w:b/>
        </w:rPr>
        <w:endnoteReference w:id="14"/>
      </w:r>
      <w:r w:rsidR="009B72A8" w:rsidRPr="00CB763F">
        <w:rPr>
          <w:rFonts w:asciiTheme="minorHAnsi" w:hAnsiTheme="minorHAnsi" w:cstheme="minorHAnsi"/>
          <w:b/>
        </w:rPr>
        <w:t xml:space="preserve"> </w:t>
      </w:r>
      <w:r>
        <w:rPr>
          <w:rFonts w:asciiTheme="minorHAnsi" w:hAnsiTheme="minorHAnsi" w:cstheme="minorHAnsi"/>
          <w:b/>
        </w:rPr>
        <w:t xml:space="preserve"> A six point summary includes reasons for immediate protection of </w:t>
      </w:r>
      <w:r w:rsidR="009B72A8" w:rsidRPr="00CB763F">
        <w:rPr>
          <w:rFonts w:asciiTheme="minorHAnsi" w:hAnsiTheme="minorHAnsi" w:cstheme="minorHAnsi"/>
          <w:b/>
        </w:rPr>
        <w:t>native forest and woodland</w:t>
      </w:r>
      <w:r>
        <w:rPr>
          <w:rFonts w:asciiTheme="minorHAnsi" w:hAnsiTheme="minorHAnsi" w:cstheme="minorHAnsi"/>
          <w:b/>
        </w:rPr>
        <w:t>s</w:t>
      </w:r>
      <w:r w:rsidR="009B72A8" w:rsidRPr="00CB763F">
        <w:rPr>
          <w:rFonts w:asciiTheme="minorHAnsi" w:hAnsiTheme="minorHAnsi" w:cstheme="minorHAnsi"/>
          <w:b/>
        </w:rPr>
        <w:t>.</w:t>
      </w:r>
    </w:p>
    <w:p w:rsidR="00CB763F" w:rsidRDefault="00CB763F" w:rsidP="0063732B">
      <w:pPr>
        <w:pStyle w:val="NoSpacing"/>
        <w:rPr>
          <w:rFonts w:asciiTheme="minorHAnsi" w:hAnsiTheme="minorHAnsi" w:cstheme="minorHAnsi"/>
          <w:b/>
        </w:rPr>
        <w:sectPr w:rsidR="00CB763F" w:rsidSect="00BC556C">
          <w:endnotePr>
            <w:numFmt w:val="decimal"/>
          </w:endnotePr>
          <w:type w:val="continuous"/>
          <w:pgSz w:w="11906" w:h="16838"/>
          <w:pgMar w:top="851" w:right="1077" w:bottom="851" w:left="1077" w:header="708" w:footer="708" w:gutter="0"/>
          <w:cols w:space="737"/>
          <w:docGrid w:linePitch="360"/>
        </w:sectPr>
      </w:pPr>
    </w:p>
    <w:p w:rsidR="0063732B" w:rsidRDefault="0063732B" w:rsidP="00CB763F">
      <w:pPr>
        <w:pStyle w:val="NoSpacing"/>
        <w:rPr>
          <w:rFonts w:asciiTheme="minorHAnsi" w:hAnsiTheme="minorHAnsi" w:cstheme="minorHAnsi"/>
          <w:b/>
        </w:rPr>
        <w:sectPr w:rsidR="0063732B" w:rsidSect="00BC556C">
          <w:endnotePr>
            <w:numFmt w:val="decimal"/>
          </w:endnotePr>
          <w:type w:val="continuous"/>
          <w:pgSz w:w="11906" w:h="16838"/>
          <w:pgMar w:top="851" w:right="1077" w:bottom="851" w:left="1077" w:header="708" w:footer="708" w:gutter="0"/>
          <w:cols w:num="2" w:space="737"/>
          <w:docGrid w:linePitch="360"/>
        </w:sectPr>
      </w:pPr>
    </w:p>
    <w:p w:rsidR="009B72A8" w:rsidRPr="0074000F" w:rsidRDefault="00CB763F" w:rsidP="00BC556C">
      <w:pPr>
        <w:pStyle w:val="NoSpacing"/>
        <w:jc w:val="both"/>
        <w:rPr>
          <w:rFonts w:asciiTheme="minorHAnsi" w:hAnsiTheme="minorHAnsi" w:cstheme="minorHAnsi"/>
        </w:rPr>
      </w:pPr>
      <w:r>
        <w:rPr>
          <w:rFonts w:asciiTheme="minorHAnsi" w:hAnsiTheme="minorHAnsi" w:cstheme="minorHAnsi"/>
          <w:b/>
        </w:rPr>
        <w:lastRenderedPageBreak/>
        <w:t xml:space="preserve">1. </w:t>
      </w:r>
      <w:r w:rsidR="00D65D40" w:rsidRPr="0074000F">
        <w:rPr>
          <w:rFonts w:asciiTheme="minorHAnsi" w:hAnsiTheme="minorHAnsi" w:cstheme="minorHAnsi"/>
          <w:b/>
        </w:rPr>
        <w:t>Emissions</w:t>
      </w:r>
      <w:r w:rsidR="00D65D40" w:rsidRPr="0074000F">
        <w:rPr>
          <w:rFonts w:asciiTheme="minorHAnsi" w:hAnsiTheme="minorHAnsi" w:cstheme="minorHAnsi"/>
        </w:rPr>
        <w:t xml:space="preserve"> from forest biom</w:t>
      </w:r>
      <w:r w:rsidR="00870AD3">
        <w:rPr>
          <w:rFonts w:asciiTheme="minorHAnsi" w:hAnsiTheme="minorHAnsi" w:cstheme="minorHAnsi"/>
        </w:rPr>
        <w:t xml:space="preserve">ass </w:t>
      </w:r>
      <w:proofErr w:type="gramStart"/>
      <w:r w:rsidR="00870AD3">
        <w:rPr>
          <w:rFonts w:asciiTheme="minorHAnsi" w:hAnsiTheme="minorHAnsi" w:cstheme="minorHAnsi"/>
        </w:rPr>
        <w:t xml:space="preserve">combustion </w:t>
      </w:r>
      <w:r w:rsidR="00D65D40" w:rsidRPr="0074000F">
        <w:rPr>
          <w:rFonts w:asciiTheme="minorHAnsi" w:hAnsiTheme="minorHAnsi" w:cstheme="minorHAnsi"/>
        </w:rPr>
        <w:t xml:space="preserve"> </w:t>
      </w:r>
      <w:r w:rsidR="00A54F87">
        <w:rPr>
          <w:rFonts w:asciiTheme="minorHAnsi" w:hAnsiTheme="minorHAnsi" w:cstheme="minorHAnsi"/>
          <w:b/>
        </w:rPr>
        <w:t>exceed</w:t>
      </w:r>
      <w:proofErr w:type="gramEnd"/>
      <w:r w:rsidR="00A54F87">
        <w:rPr>
          <w:rFonts w:asciiTheme="minorHAnsi" w:hAnsiTheme="minorHAnsi" w:cstheme="minorHAnsi"/>
          <w:b/>
        </w:rPr>
        <w:t xml:space="preserve"> </w:t>
      </w:r>
      <w:r w:rsidR="00D65D40" w:rsidRPr="0074000F">
        <w:rPr>
          <w:rFonts w:asciiTheme="minorHAnsi" w:hAnsiTheme="minorHAnsi" w:cstheme="minorHAnsi"/>
          <w:b/>
        </w:rPr>
        <w:t xml:space="preserve">coal </w:t>
      </w:r>
      <w:r w:rsidR="00A54F87">
        <w:rPr>
          <w:rFonts w:asciiTheme="minorHAnsi" w:hAnsiTheme="minorHAnsi" w:cstheme="minorHAnsi"/>
          <w:b/>
        </w:rPr>
        <w:t xml:space="preserve">emissions </w:t>
      </w:r>
      <w:r w:rsidR="00D65D40" w:rsidRPr="0074000F">
        <w:rPr>
          <w:rFonts w:asciiTheme="minorHAnsi" w:hAnsiTheme="minorHAnsi" w:cstheme="minorHAnsi"/>
          <w:b/>
        </w:rPr>
        <w:t>per unit of energy produced; it is not carbon neutral</w:t>
      </w:r>
      <w:r w:rsidR="00E81AB4">
        <w:rPr>
          <w:rFonts w:asciiTheme="minorHAnsi" w:hAnsiTheme="minorHAnsi" w:cstheme="minorHAnsi"/>
        </w:rPr>
        <w:t>.</w:t>
      </w:r>
      <w:r w:rsidR="00E81AB4">
        <w:rPr>
          <w:rStyle w:val="EndnoteReference"/>
          <w:rFonts w:asciiTheme="minorHAnsi" w:hAnsiTheme="minorHAnsi" w:cstheme="minorHAnsi"/>
        </w:rPr>
        <w:endnoteReference w:id="15"/>
      </w:r>
    </w:p>
    <w:p w:rsidR="00D65D40" w:rsidRPr="0074000F" w:rsidRDefault="00D65D40" w:rsidP="00BC556C">
      <w:pPr>
        <w:pStyle w:val="NoSpacing"/>
        <w:jc w:val="both"/>
        <w:rPr>
          <w:rFonts w:asciiTheme="minorHAnsi" w:hAnsiTheme="minorHAnsi" w:cstheme="minorHAnsi"/>
        </w:rPr>
      </w:pPr>
    </w:p>
    <w:p w:rsidR="00060A03" w:rsidRDefault="00CB763F" w:rsidP="00BC556C">
      <w:pPr>
        <w:pStyle w:val="NoSpacing"/>
        <w:jc w:val="both"/>
        <w:rPr>
          <w:rFonts w:asciiTheme="minorHAnsi" w:hAnsiTheme="minorHAnsi" w:cstheme="minorHAnsi"/>
        </w:rPr>
      </w:pPr>
      <w:r>
        <w:rPr>
          <w:rFonts w:asciiTheme="minorHAnsi" w:hAnsiTheme="minorHAnsi" w:cstheme="minorHAnsi"/>
          <w:b/>
        </w:rPr>
        <w:t xml:space="preserve">2. </w:t>
      </w:r>
      <w:r w:rsidR="00D65D40" w:rsidRPr="0074000F">
        <w:rPr>
          <w:rFonts w:asciiTheme="minorHAnsi" w:hAnsiTheme="minorHAnsi" w:cstheme="minorHAnsi"/>
          <w:b/>
        </w:rPr>
        <w:t xml:space="preserve">The opportunity cost of </w:t>
      </w:r>
      <w:r w:rsidR="00335A5F">
        <w:rPr>
          <w:rFonts w:asciiTheme="minorHAnsi" w:hAnsiTheme="minorHAnsi" w:cstheme="minorHAnsi"/>
          <w:b/>
        </w:rPr>
        <w:t xml:space="preserve">logging </w:t>
      </w:r>
      <w:r w:rsidR="00D65D40" w:rsidRPr="0074000F">
        <w:rPr>
          <w:rFonts w:asciiTheme="minorHAnsi" w:hAnsiTheme="minorHAnsi" w:cstheme="minorHAnsi"/>
          <w:b/>
        </w:rPr>
        <w:t>forests</w:t>
      </w:r>
      <w:r w:rsidR="00D65D40" w:rsidRPr="0074000F">
        <w:rPr>
          <w:rFonts w:asciiTheme="minorHAnsi" w:hAnsiTheme="minorHAnsi" w:cstheme="minorHAnsi"/>
        </w:rPr>
        <w:t xml:space="preserve"> for bioenergy or fuel </w:t>
      </w:r>
      <w:r w:rsidR="00D65D40" w:rsidRPr="0074000F">
        <w:rPr>
          <w:rFonts w:asciiTheme="minorHAnsi" w:hAnsiTheme="minorHAnsi" w:cstheme="minorHAnsi"/>
          <w:b/>
        </w:rPr>
        <w:t xml:space="preserve">is immediate </w:t>
      </w:r>
      <w:r w:rsidR="00335A5F">
        <w:rPr>
          <w:rFonts w:asciiTheme="minorHAnsi" w:hAnsiTheme="minorHAnsi" w:cstheme="minorHAnsi"/>
          <w:b/>
        </w:rPr>
        <w:t xml:space="preserve">release to atmosphere of their stored carbon </w:t>
      </w:r>
      <w:r w:rsidR="00D65D40" w:rsidRPr="0074000F">
        <w:rPr>
          <w:rFonts w:asciiTheme="minorHAnsi" w:hAnsiTheme="minorHAnsi" w:cstheme="minorHAnsi"/>
          <w:b/>
        </w:rPr>
        <w:t xml:space="preserve">and </w:t>
      </w:r>
      <w:r w:rsidR="00767D0D">
        <w:rPr>
          <w:rFonts w:asciiTheme="minorHAnsi" w:hAnsiTheme="minorHAnsi" w:cstheme="minorHAnsi"/>
          <w:b/>
        </w:rPr>
        <w:t>destruction of f</w:t>
      </w:r>
      <w:r w:rsidR="00335A5F">
        <w:rPr>
          <w:rFonts w:asciiTheme="minorHAnsi" w:hAnsiTheme="minorHAnsi" w:cstheme="minorHAnsi"/>
          <w:b/>
        </w:rPr>
        <w:t xml:space="preserve">uture </w:t>
      </w:r>
      <w:r w:rsidR="00D65D40" w:rsidRPr="0074000F">
        <w:rPr>
          <w:rFonts w:asciiTheme="minorHAnsi" w:hAnsiTheme="minorHAnsi" w:cstheme="minorHAnsi"/>
          <w:b/>
        </w:rPr>
        <w:t xml:space="preserve">capacity to </w:t>
      </w:r>
      <w:r w:rsidR="00335A5F">
        <w:rPr>
          <w:rFonts w:asciiTheme="minorHAnsi" w:hAnsiTheme="minorHAnsi" w:cstheme="minorHAnsi"/>
          <w:b/>
        </w:rPr>
        <w:t xml:space="preserve">sequester </w:t>
      </w:r>
      <w:r w:rsidR="00D65D40" w:rsidRPr="0074000F">
        <w:rPr>
          <w:rFonts w:asciiTheme="minorHAnsi" w:hAnsiTheme="minorHAnsi" w:cstheme="minorHAnsi"/>
          <w:b/>
        </w:rPr>
        <w:t xml:space="preserve">carbon from the atmosphere, </w:t>
      </w:r>
      <w:r w:rsidR="00767D0D">
        <w:rPr>
          <w:rFonts w:asciiTheme="minorHAnsi" w:hAnsiTheme="minorHAnsi" w:cstheme="minorHAnsi"/>
          <w:b/>
        </w:rPr>
        <w:t xml:space="preserve">known as </w:t>
      </w:r>
      <w:r w:rsidR="00D65D40" w:rsidRPr="0074000F">
        <w:rPr>
          <w:rFonts w:asciiTheme="minorHAnsi" w:hAnsiTheme="minorHAnsi" w:cstheme="minorHAnsi"/>
          <w:b/>
        </w:rPr>
        <w:t>CDR,</w:t>
      </w:r>
      <w:r w:rsidR="00D65D40" w:rsidRPr="0074000F">
        <w:rPr>
          <w:rFonts w:asciiTheme="minorHAnsi" w:hAnsiTheme="minorHAnsi" w:cstheme="minorHAnsi"/>
        </w:rPr>
        <w:t xml:space="preserve"> carbon dioxide removal.</w:t>
      </w:r>
      <w:r w:rsidR="00335A5F">
        <w:rPr>
          <w:rFonts w:asciiTheme="minorHAnsi" w:hAnsiTheme="minorHAnsi" w:cstheme="minorHAnsi"/>
        </w:rPr>
        <w:t xml:space="preserve">  </w:t>
      </w:r>
      <w:r w:rsidR="00060A03">
        <w:rPr>
          <w:rFonts w:asciiTheme="minorHAnsi" w:hAnsiTheme="minorHAnsi" w:cstheme="minorHAnsi"/>
        </w:rPr>
        <w:t xml:space="preserve">Maturing </w:t>
      </w:r>
      <w:r w:rsidR="00660F44">
        <w:rPr>
          <w:rFonts w:asciiTheme="minorHAnsi" w:hAnsiTheme="minorHAnsi" w:cstheme="minorHAnsi"/>
        </w:rPr>
        <w:t>tree</w:t>
      </w:r>
      <w:r w:rsidR="00060A03">
        <w:rPr>
          <w:rFonts w:asciiTheme="minorHAnsi" w:hAnsiTheme="minorHAnsi" w:cstheme="minorHAnsi"/>
        </w:rPr>
        <w:t>s</w:t>
      </w:r>
      <w:r w:rsidR="00660F44">
        <w:rPr>
          <w:rFonts w:asciiTheme="minorHAnsi" w:hAnsiTheme="minorHAnsi" w:cstheme="minorHAnsi"/>
        </w:rPr>
        <w:t xml:space="preserve"> </w:t>
      </w:r>
      <w:r w:rsidR="00E81AB4">
        <w:rPr>
          <w:rFonts w:asciiTheme="minorHAnsi" w:hAnsiTheme="minorHAnsi" w:cstheme="minorHAnsi"/>
        </w:rPr>
        <w:t>capture and store</w:t>
      </w:r>
      <w:r w:rsidR="00060A03">
        <w:rPr>
          <w:rFonts w:asciiTheme="minorHAnsi" w:hAnsiTheme="minorHAnsi" w:cstheme="minorHAnsi"/>
        </w:rPr>
        <w:t xml:space="preserve"> more carbon</w:t>
      </w:r>
      <w:r w:rsidR="00E81AB4">
        <w:rPr>
          <w:rFonts w:asciiTheme="minorHAnsi" w:hAnsiTheme="minorHAnsi" w:cstheme="minorHAnsi"/>
        </w:rPr>
        <w:t>.</w:t>
      </w:r>
      <w:r w:rsidR="00E81AB4">
        <w:rPr>
          <w:rStyle w:val="EndnoteReference"/>
          <w:rFonts w:asciiTheme="minorHAnsi" w:hAnsiTheme="minorHAnsi" w:cstheme="minorHAnsi"/>
        </w:rPr>
        <w:endnoteReference w:id="16"/>
      </w:r>
      <w:r w:rsidR="00D65D40" w:rsidRPr="0074000F">
        <w:rPr>
          <w:rFonts w:asciiTheme="minorHAnsi" w:hAnsiTheme="minorHAnsi" w:cstheme="minorHAnsi"/>
        </w:rPr>
        <w:t xml:space="preserve">  </w:t>
      </w:r>
      <w:r w:rsidR="00060A03">
        <w:rPr>
          <w:rFonts w:asciiTheme="minorHAnsi" w:hAnsiTheme="minorHAnsi" w:cstheme="minorHAnsi"/>
        </w:rPr>
        <w:t>Ongoing i</w:t>
      </w:r>
      <w:r w:rsidR="00D65D40" w:rsidRPr="0074000F">
        <w:rPr>
          <w:rFonts w:asciiTheme="minorHAnsi" w:hAnsiTheme="minorHAnsi" w:cstheme="minorHAnsi"/>
        </w:rPr>
        <w:t xml:space="preserve">ndustrial logging degrades forests </w:t>
      </w:r>
      <w:r w:rsidR="00060A03">
        <w:rPr>
          <w:rFonts w:asciiTheme="minorHAnsi" w:hAnsiTheme="minorHAnsi" w:cstheme="minorHAnsi"/>
        </w:rPr>
        <w:t xml:space="preserve">till they </w:t>
      </w:r>
      <w:r w:rsidR="00D65D40" w:rsidRPr="0074000F">
        <w:rPr>
          <w:rFonts w:asciiTheme="minorHAnsi" w:hAnsiTheme="minorHAnsi" w:cstheme="minorHAnsi"/>
        </w:rPr>
        <w:t>emi</w:t>
      </w:r>
      <w:r w:rsidR="00E81AB4">
        <w:rPr>
          <w:rFonts w:asciiTheme="minorHAnsi" w:hAnsiTheme="minorHAnsi" w:cstheme="minorHAnsi"/>
        </w:rPr>
        <w:t>t</w:t>
      </w:r>
      <w:r w:rsidR="00767D0D">
        <w:rPr>
          <w:rFonts w:asciiTheme="minorHAnsi" w:hAnsiTheme="minorHAnsi" w:cstheme="minorHAnsi"/>
        </w:rPr>
        <w:t xml:space="preserve"> </w:t>
      </w:r>
      <w:r w:rsidR="000C30B2">
        <w:rPr>
          <w:rFonts w:asciiTheme="minorHAnsi" w:hAnsiTheme="minorHAnsi" w:cstheme="minorHAnsi"/>
        </w:rPr>
        <w:t>more carbon than is captured</w:t>
      </w:r>
      <w:r w:rsidR="00E81AB4">
        <w:rPr>
          <w:rFonts w:asciiTheme="minorHAnsi" w:hAnsiTheme="minorHAnsi" w:cstheme="minorHAnsi"/>
        </w:rPr>
        <w:t>.</w:t>
      </w:r>
      <w:r w:rsidR="00E81AB4">
        <w:rPr>
          <w:rStyle w:val="EndnoteReference"/>
          <w:rFonts w:asciiTheme="minorHAnsi" w:hAnsiTheme="minorHAnsi" w:cstheme="minorHAnsi"/>
        </w:rPr>
        <w:endnoteReference w:id="17"/>
      </w:r>
      <w:r w:rsidR="00D65D40" w:rsidRPr="0074000F">
        <w:rPr>
          <w:rFonts w:asciiTheme="minorHAnsi" w:hAnsiTheme="minorHAnsi" w:cstheme="minorHAnsi"/>
        </w:rPr>
        <w:t xml:space="preserve">  </w:t>
      </w:r>
      <w:r w:rsidR="00767D0D">
        <w:rPr>
          <w:rFonts w:asciiTheme="minorHAnsi" w:hAnsiTheme="minorHAnsi" w:cstheme="minorHAnsi"/>
        </w:rPr>
        <w:t>G</w:t>
      </w:r>
      <w:r w:rsidR="00D65D40" w:rsidRPr="0074000F">
        <w:rPr>
          <w:rFonts w:asciiTheme="minorHAnsi" w:hAnsiTheme="minorHAnsi" w:cstheme="minorHAnsi"/>
        </w:rPr>
        <w:t xml:space="preserve">lobal forest carbon </w:t>
      </w:r>
      <w:r w:rsidR="00767D0D">
        <w:rPr>
          <w:rFonts w:asciiTheme="minorHAnsi" w:hAnsiTheme="minorHAnsi" w:cstheme="minorHAnsi"/>
        </w:rPr>
        <w:t xml:space="preserve">stores are </w:t>
      </w:r>
      <w:r w:rsidR="00D65D40" w:rsidRPr="0074000F">
        <w:rPr>
          <w:rFonts w:asciiTheme="minorHAnsi" w:hAnsiTheme="minorHAnsi" w:cstheme="minorHAnsi"/>
        </w:rPr>
        <w:t>esti</w:t>
      </w:r>
      <w:r w:rsidR="00060A03">
        <w:rPr>
          <w:rFonts w:asciiTheme="minorHAnsi" w:hAnsiTheme="minorHAnsi" w:cstheme="minorHAnsi"/>
        </w:rPr>
        <w:t xml:space="preserve">mated to be </w:t>
      </w:r>
      <w:r w:rsidR="00767D0D">
        <w:rPr>
          <w:rFonts w:asciiTheme="minorHAnsi" w:hAnsiTheme="minorHAnsi" w:cstheme="minorHAnsi"/>
        </w:rPr>
        <w:t xml:space="preserve">at least 862 </w:t>
      </w:r>
      <w:proofErr w:type="spellStart"/>
      <w:r w:rsidR="00767D0D">
        <w:rPr>
          <w:rFonts w:asciiTheme="minorHAnsi" w:hAnsiTheme="minorHAnsi" w:cstheme="minorHAnsi"/>
        </w:rPr>
        <w:t>GtC</w:t>
      </w:r>
      <w:proofErr w:type="spellEnd"/>
      <w:r w:rsidR="00060A03">
        <w:rPr>
          <w:rFonts w:asciiTheme="minorHAnsi" w:hAnsiTheme="minorHAnsi" w:cstheme="minorHAnsi"/>
        </w:rPr>
        <w:t>,</w:t>
      </w:r>
      <w:r w:rsidR="00767D0D">
        <w:rPr>
          <w:rFonts w:asciiTheme="minorHAnsi" w:hAnsiTheme="minorHAnsi" w:cstheme="minorHAnsi"/>
        </w:rPr>
        <w:t xml:space="preserve"> </w:t>
      </w:r>
      <w:r w:rsidR="00E81AB4">
        <w:rPr>
          <w:rStyle w:val="EndnoteReference"/>
          <w:rFonts w:asciiTheme="minorHAnsi" w:hAnsiTheme="minorHAnsi" w:cstheme="minorHAnsi"/>
        </w:rPr>
        <w:endnoteReference w:id="18"/>
      </w:r>
      <w:r w:rsidR="00D65D40" w:rsidRPr="0074000F">
        <w:rPr>
          <w:rFonts w:asciiTheme="minorHAnsi" w:hAnsiTheme="minorHAnsi" w:cstheme="minorHAnsi"/>
        </w:rPr>
        <w:t xml:space="preserve"> </w:t>
      </w:r>
      <w:r w:rsidR="00767D0D">
        <w:rPr>
          <w:rFonts w:asciiTheme="minorHAnsi" w:hAnsiTheme="minorHAnsi" w:cstheme="minorHAnsi"/>
        </w:rPr>
        <w:t xml:space="preserve">which </w:t>
      </w:r>
      <w:r w:rsidR="00D65D40" w:rsidRPr="0074000F">
        <w:rPr>
          <w:rFonts w:asciiTheme="minorHAnsi" w:hAnsiTheme="minorHAnsi" w:cstheme="minorHAnsi"/>
        </w:rPr>
        <w:t>represents significant avoided emission potential</w:t>
      </w:r>
      <w:r w:rsidR="00767D0D">
        <w:rPr>
          <w:rFonts w:asciiTheme="minorHAnsi" w:hAnsiTheme="minorHAnsi" w:cstheme="minorHAnsi"/>
        </w:rPr>
        <w:t xml:space="preserve">.  If </w:t>
      </w:r>
      <w:r w:rsidR="00D65D40" w:rsidRPr="0074000F">
        <w:rPr>
          <w:rFonts w:asciiTheme="minorHAnsi" w:hAnsiTheme="minorHAnsi" w:cstheme="minorHAnsi"/>
        </w:rPr>
        <w:t xml:space="preserve">converted to CO2 by logging, clearing, or other factors, </w:t>
      </w:r>
      <w:proofErr w:type="gramStart"/>
      <w:r w:rsidR="00767D0D">
        <w:rPr>
          <w:rFonts w:asciiTheme="minorHAnsi" w:hAnsiTheme="minorHAnsi" w:cstheme="minorHAnsi"/>
        </w:rPr>
        <w:t>th</w:t>
      </w:r>
      <w:r w:rsidR="00060A03">
        <w:rPr>
          <w:rFonts w:asciiTheme="minorHAnsi" w:hAnsiTheme="minorHAnsi" w:cstheme="minorHAnsi"/>
        </w:rPr>
        <w:t>e</w:t>
      </w:r>
      <w:proofErr w:type="gramEnd"/>
      <w:r w:rsidR="00060A03">
        <w:rPr>
          <w:rFonts w:asciiTheme="minorHAnsi" w:hAnsiTheme="minorHAnsi" w:cstheme="minorHAnsi"/>
        </w:rPr>
        <w:t xml:space="preserve"> </w:t>
      </w:r>
      <w:r w:rsidR="00D65D40" w:rsidRPr="0074000F">
        <w:rPr>
          <w:rFonts w:asciiTheme="minorHAnsi" w:hAnsiTheme="minorHAnsi" w:cstheme="minorHAnsi"/>
        </w:rPr>
        <w:t xml:space="preserve">risk </w:t>
      </w:r>
      <w:r w:rsidR="00767D0D">
        <w:rPr>
          <w:rFonts w:asciiTheme="minorHAnsi" w:hAnsiTheme="minorHAnsi" w:cstheme="minorHAnsi"/>
        </w:rPr>
        <w:t xml:space="preserve">of </w:t>
      </w:r>
      <w:r w:rsidR="00D65D40" w:rsidRPr="0074000F">
        <w:rPr>
          <w:rFonts w:asciiTheme="minorHAnsi" w:hAnsiTheme="minorHAnsi" w:cstheme="minorHAnsi"/>
        </w:rPr>
        <w:t>exceed</w:t>
      </w:r>
      <w:r w:rsidR="00767D0D">
        <w:rPr>
          <w:rFonts w:asciiTheme="minorHAnsi" w:hAnsiTheme="minorHAnsi" w:cstheme="minorHAnsi"/>
        </w:rPr>
        <w:t>ing</w:t>
      </w:r>
      <w:r w:rsidR="00060A03">
        <w:rPr>
          <w:rFonts w:asciiTheme="minorHAnsi" w:hAnsiTheme="minorHAnsi" w:cstheme="minorHAnsi"/>
        </w:rPr>
        <w:t xml:space="preserve"> </w:t>
      </w:r>
      <w:r w:rsidR="00D65D40" w:rsidRPr="0074000F">
        <w:rPr>
          <w:rFonts w:asciiTheme="minorHAnsi" w:hAnsiTheme="minorHAnsi" w:cstheme="minorHAnsi"/>
        </w:rPr>
        <w:t>1.5</w:t>
      </w:r>
      <w:r w:rsidR="00767D0D" w:rsidRPr="00767D0D">
        <w:rPr>
          <w:rFonts w:asciiTheme="minorHAnsi" w:hAnsiTheme="minorHAnsi" w:cstheme="minorHAnsi"/>
          <w:vertAlign w:val="superscript"/>
        </w:rPr>
        <w:t>O</w:t>
      </w:r>
      <w:r w:rsidR="00D65D40" w:rsidRPr="0074000F">
        <w:rPr>
          <w:rFonts w:asciiTheme="minorHAnsi" w:hAnsiTheme="minorHAnsi" w:cstheme="minorHAnsi"/>
        </w:rPr>
        <w:t xml:space="preserve"> warming increase</w:t>
      </w:r>
      <w:r w:rsidR="00060A03">
        <w:rPr>
          <w:rFonts w:asciiTheme="minorHAnsi" w:hAnsiTheme="minorHAnsi" w:cstheme="minorHAnsi"/>
        </w:rPr>
        <w:t>s</w:t>
      </w:r>
      <w:r w:rsidR="00767D0D">
        <w:rPr>
          <w:rFonts w:asciiTheme="minorHAnsi" w:hAnsiTheme="minorHAnsi" w:cstheme="minorHAnsi"/>
        </w:rPr>
        <w:t xml:space="preserve"> and escalate</w:t>
      </w:r>
      <w:r w:rsidR="00060A03">
        <w:rPr>
          <w:rFonts w:asciiTheme="minorHAnsi" w:hAnsiTheme="minorHAnsi" w:cstheme="minorHAnsi"/>
        </w:rPr>
        <w:t xml:space="preserve">s to a likelihood of </w:t>
      </w:r>
      <w:r w:rsidR="00E81AB4">
        <w:rPr>
          <w:rFonts w:asciiTheme="minorHAnsi" w:hAnsiTheme="minorHAnsi" w:cstheme="minorHAnsi"/>
        </w:rPr>
        <w:t>2</w:t>
      </w:r>
      <w:r w:rsidR="00767D0D" w:rsidRPr="00767D0D">
        <w:rPr>
          <w:rFonts w:asciiTheme="minorHAnsi" w:hAnsiTheme="minorHAnsi" w:cstheme="minorHAnsi"/>
          <w:vertAlign w:val="superscript"/>
        </w:rPr>
        <w:t>O</w:t>
      </w:r>
      <w:r w:rsidR="00060A03">
        <w:rPr>
          <w:rFonts w:asciiTheme="minorHAnsi" w:hAnsiTheme="minorHAnsi" w:cstheme="minorHAnsi"/>
        </w:rPr>
        <w:t>, or above.</w:t>
      </w:r>
      <w:r w:rsidR="00060A03">
        <w:rPr>
          <w:rStyle w:val="EndnoteReference"/>
          <w:rFonts w:asciiTheme="minorHAnsi" w:hAnsiTheme="minorHAnsi" w:cstheme="minorHAnsi"/>
        </w:rPr>
        <w:endnoteReference w:id="19"/>
      </w:r>
      <w:r w:rsidR="00060A03" w:rsidRPr="0074000F">
        <w:rPr>
          <w:rFonts w:asciiTheme="minorHAnsi" w:hAnsiTheme="minorHAnsi" w:cstheme="minorHAnsi"/>
        </w:rPr>
        <w:t xml:space="preserve"> </w:t>
      </w:r>
      <w:r w:rsidR="00060A03">
        <w:rPr>
          <w:rFonts w:asciiTheme="minorHAnsi" w:hAnsiTheme="minorHAnsi" w:cstheme="minorHAnsi"/>
        </w:rPr>
        <w:t xml:space="preserve"> </w:t>
      </w:r>
    </w:p>
    <w:p w:rsidR="00D65D40" w:rsidRPr="0074000F" w:rsidRDefault="00335A5F" w:rsidP="00BC556C">
      <w:pPr>
        <w:pStyle w:val="NoSpacing"/>
        <w:jc w:val="both"/>
        <w:rPr>
          <w:rFonts w:asciiTheme="minorHAnsi" w:hAnsiTheme="minorHAnsi" w:cstheme="minorHAnsi"/>
        </w:rPr>
      </w:pPr>
      <w:r>
        <w:rPr>
          <w:rFonts w:asciiTheme="minorHAnsi" w:hAnsiTheme="minorHAnsi" w:cstheme="minorHAnsi"/>
        </w:rPr>
        <w:lastRenderedPageBreak/>
        <w:t xml:space="preserve">So even if </w:t>
      </w:r>
      <w:r w:rsidR="00D65D40" w:rsidRPr="0074000F">
        <w:rPr>
          <w:rFonts w:asciiTheme="minorHAnsi" w:hAnsiTheme="minorHAnsi" w:cstheme="minorHAnsi"/>
        </w:rPr>
        <w:t>GHG emissions</w:t>
      </w:r>
      <w:r w:rsidRPr="00335A5F">
        <w:rPr>
          <w:rFonts w:asciiTheme="minorHAnsi" w:hAnsiTheme="minorHAnsi" w:cstheme="minorHAnsi"/>
        </w:rPr>
        <w:t xml:space="preserve"> </w:t>
      </w:r>
      <w:r>
        <w:rPr>
          <w:rFonts w:asciiTheme="minorHAnsi" w:hAnsiTheme="minorHAnsi" w:cstheme="minorHAnsi"/>
        </w:rPr>
        <w:t xml:space="preserve">cease, the logging forest carbon stores diminishes opportunity to </w:t>
      </w:r>
      <w:r w:rsidRPr="0074000F">
        <w:rPr>
          <w:rFonts w:asciiTheme="minorHAnsi" w:hAnsiTheme="minorHAnsi" w:cstheme="minorHAnsi"/>
        </w:rPr>
        <w:t>stabilis</w:t>
      </w:r>
      <w:r>
        <w:rPr>
          <w:rFonts w:asciiTheme="minorHAnsi" w:hAnsiTheme="minorHAnsi" w:cstheme="minorHAnsi"/>
        </w:rPr>
        <w:t xml:space="preserve">e </w:t>
      </w:r>
      <w:r w:rsidRPr="0074000F">
        <w:rPr>
          <w:rFonts w:asciiTheme="minorHAnsi" w:hAnsiTheme="minorHAnsi" w:cstheme="minorHAnsi"/>
        </w:rPr>
        <w:t>at 1</w:t>
      </w:r>
      <w:r w:rsidRPr="00767D0D">
        <w:rPr>
          <w:rFonts w:asciiTheme="minorHAnsi" w:hAnsiTheme="minorHAnsi" w:cstheme="minorHAnsi"/>
          <w:vertAlign w:val="superscript"/>
        </w:rPr>
        <w:t>O</w:t>
      </w:r>
      <w:r>
        <w:rPr>
          <w:rFonts w:asciiTheme="minorHAnsi" w:hAnsiTheme="minorHAnsi" w:cstheme="minorHAnsi"/>
        </w:rPr>
        <w:t>.</w:t>
      </w:r>
      <w:r w:rsidR="00D65D40" w:rsidRPr="0074000F">
        <w:rPr>
          <w:rFonts w:asciiTheme="minorHAnsi" w:hAnsiTheme="minorHAnsi" w:cstheme="minorHAnsi"/>
        </w:rPr>
        <w:t xml:space="preserve"> </w:t>
      </w:r>
    </w:p>
    <w:p w:rsidR="00E00F4A" w:rsidRPr="0074000F" w:rsidRDefault="00E00F4A" w:rsidP="00BC556C">
      <w:pPr>
        <w:pStyle w:val="NoSpacing"/>
        <w:jc w:val="both"/>
        <w:rPr>
          <w:rFonts w:asciiTheme="minorHAnsi" w:hAnsiTheme="minorHAnsi" w:cstheme="minorHAnsi"/>
        </w:rPr>
      </w:pPr>
    </w:p>
    <w:p w:rsidR="00E00F4A" w:rsidRPr="0074000F" w:rsidRDefault="003D576D" w:rsidP="00BC556C">
      <w:pPr>
        <w:pStyle w:val="NoSpacing"/>
        <w:jc w:val="both"/>
        <w:rPr>
          <w:rFonts w:asciiTheme="minorHAnsi" w:hAnsiTheme="minorHAnsi" w:cstheme="minorHAnsi"/>
        </w:rPr>
      </w:pPr>
      <w:r>
        <w:rPr>
          <w:rFonts w:asciiTheme="minorHAnsi" w:hAnsiTheme="minorHAnsi" w:cstheme="minorHAnsi"/>
          <w:b/>
        </w:rPr>
        <w:t xml:space="preserve">3. </w:t>
      </w:r>
      <w:r w:rsidR="00E00F4A" w:rsidRPr="0074000F">
        <w:rPr>
          <w:rFonts w:asciiTheme="minorHAnsi" w:hAnsiTheme="minorHAnsi" w:cstheme="minorHAnsi"/>
          <w:b/>
        </w:rPr>
        <w:t xml:space="preserve">Forest biomass for energy is the second </w:t>
      </w:r>
      <w:r w:rsidR="00767D0D">
        <w:rPr>
          <w:rFonts w:asciiTheme="minorHAnsi" w:hAnsiTheme="minorHAnsi" w:cstheme="minorHAnsi"/>
          <w:b/>
        </w:rPr>
        <w:t xml:space="preserve">greatest </w:t>
      </w:r>
      <w:r w:rsidR="00E00F4A" w:rsidRPr="0074000F">
        <w:rPr>
          <w:rFonts w:asciiTheme="minorHAnsi" w:hAnsiTheme="minorHAnsi" w:cstheme="minorHAnsi"/>
          <w:b/>
        </w:rPr>
        <w:t xml:space="preserve">driver of </w:t>
      </w:r>
      <w:r w:rsidR="00767D0D">
        <w:rPr>
          <w:rFonts w:asciiTheme="minorHAnsi" w:hAnsiTheme="minorHAnsi" w:cstheme="minorHAnsi"/>
          <w:b/>
        </w:rPr>
        <w:t xml:space="preserve">forest </w:t>
      </w:r>
      <w:r w:rsidR="00E00F4A" w:rsidRPr="0074000F">
        <w:rPr>
          <w:rFonts w:asciiTheme="minorHAnsi" w:hAnsiTheme="minorHAnsi" w:cstheme="minorHAnsi"/>
          <w:b/>
        </w:rPr>
        <w:t>degradation</w:t>
      </w:r>
      <w:r w:rsidR="00E81AB4">
        <w:rPr>
          <w:rFonts w:asciiTheme="minorHAnsi" w:hAnsiTheme="minorHAnsi" w:cstheme="minorHAnsi"/>
        </w:rPr>
        <w:t>.</w:t>
      </w:r>
      <w:r w:rsidR="00E81AB4">
        <w:rPr>
          <w:rStyle w:val="EndnoteReference"/>
          <w:rFonts w:asciiTheme="minorHAnsi" w:hAnsiTheme="minorHAnsi" w:cstheme="minorHAnsi"/>
        </w:rPr>
        <w:endnoteReference w:id="20"/>
      </w:r>
    </w:p>
    <w:p w:rsidR="003375F3" w:rsidRDefault="00E00F4A" w:rsidP="00BC556C">
      <w:pPr>
        <w:pStyle w:val="NoSpacing"/>
        <w:jc w:val="both"/>
        <w:rPr>
          <w:rFonts w:asciiTheme="minorHAnsi" w:hAnsiTheme="minorHAnsi" w:cstheme="minorHAnsi"/>
        </w:rPr>
        <w:sectPr w:rsidR="003375F3" w:rsidSect="00BC556C">
          <w:endnotePr>
            <w:numFmt w:val="decimal"/>
          </w:endnotePr>
          <w:type w:val="continuous"/>
          <w:pgSz w:w="11906" w:h="16838"/>
          <w:pgMar w:top="851" w:right="1077" w:bottom="851" w:left="1077" w:header="708" w:footer="708" w:gutter="0"/>
          <w:cols w:num="2" w:space="624"/>
          <w:docGrid w:linePitch="360"/>
        </w:sectPr>
      </w:pPr>
      <w:r w:rsidRPr="0074000F">
        <w:rPr>
          <w:rFonts w:asciiTheme="minorHAnsi" w:hAnsiTheme="minorHAnsi" w:cstheme="minorHAnsi"/>
        </w:rPr>
        <w:t xml:space="preserve">Forest bioenergy requires </w:t>
      </w:r>
      <w:r w:rsidR="00335A5F">
        <w:rPr>
          <w:rFonts w:asciiTheme="minorHAnsi" w:hAnsiTheme="minorHAnsi" w:cstheme="minorHAnsi"/>
        </w:rPr>
        <w:t xml:space="preserve">an </w:t>
      </w:r>
      <w:r w:rsidRPr="0074000F">
        <w:rPr>
          <w:rFonts w:asciiTheme="minorHAnsi" w:hAnsiTheme="minorHAnsi" w:cstheme="minorHAnsi"/>
        </w:rPr>
        <w:t>ongoing supply of large volumes of wood.  It is driving deforestation and forest degradation in Nort</w:t>
      </w:r>
      <w:r w:rsidR="00E81AB4">
        <w:rPr>
          <w:rFonts w:asciiTheme="minorHAnsi" w:hAnsiTheme="minorHAnsi" w:cstheme="minorHAnsi"/>
        </w:rPr>
        <w:t xml:space="preserve">h America, Europe and Russia. </w:t>
      </w:r>
      <w:r w:rsidR="00E81AB4">
        <w:rPr>
          <w:rStyle w:val="EndnoteReference"/>
          <w:rFonts w:asciiTheme="minorHAnsi" w:hAnsiTheme="minorHAnsi" w:cstheme="minorHAnsi"/>
        </w:rPr>
        <w:endnoteReference w:id="21"/>
      </w:r>
      <w:r w:rsidR="00E81AB4">
        <w:rPr>
          <w:rFonts w:asciiTheme="minorHAnsi" w:hAnsiTheme="minorHAnsi" w:cstheme="minorHAnsi"/>
        </w:rPr>
        <w:t>,</w:t>
      </w:r>
      <w:r w:rsidR="00E81AB4">
        <w:rPr>
          <w:rStyle w:val="EndnoteReference"/>
          <w:rFonts w:asciiTheme="minorHAnsi" w:hAnsiTheme="minorHAnsi" w:cstheme="minorHAnsi"/>
        </w:rPr>
        <w:endnoteReference w:id="22"/>
      </w:r>
      <w:r w:rsidRPr="0074000F">
        <w:rPr>
          <w:rFonts w:asciiTheme="minorHAnsi" w:hAnsiTheme="minorHAnsi" w:cstheme="minorHAnsi"/>
        </w:rPr>
        <w:t xml:space="preserve">  Europe is burning 21.7 million tonnes of wood pellets annually, of which 5 million to</w:t>
      </w:r>
      <w:r w:rsidR="00E81AB4">
        <w:rPr>
          <w:rFonts w:asciiTheme="minorHAnsi" w:hAnsiTheme="minorHAnsi" w:cstheme="minorHAnsi"/>
        </w:rPr>
        <w:t>nnes is exported from the USA.</w:t>
      </w:r>
      <w:r w:rsidR="00E81AB4">
        <w:rPr>
          <w:rStyle w:val="EndnoteReference"/>
          <w:rFonts w:asciiTheme="minorHAnsi" w:hAnsiTheme="minorHAnsi" w:cstheme="minorHAnsi"/>
        </w:rPr>
        <w:endnoteReference w:id="23"/>
      </w:r>
      <w:r w:rsidRPr="0074000F">
        <w:rPr>
          <w:rFonts w:asciiTheme="minorHAnsi" w:hAnsiTheme="minorHAnsi" w:cstheme="minorHAnsi"/>
        </w:rPr>
        <w:t xml:space="preserve">  In 2017 global demand for industrial wood pellets exceeded 14 million tonnes and is predicted to increase by more than 250 </w:t>
      </w:r>
      <w:r w:rsidR="00CC042A">
        <w:rPr>
          <w:rFonts w:asciiTheme="minorHAnsi" w:hAnsiTheme="minorHAnsi" w:cstheme="minorHAnsi"/>
        </w:rPr>
        <w:t>%</w:t>
      </w:r>
      <w:r w:rsidRPr="0074000F">
        <w:rPr>
          <w:rFonts w:asciiTheme="minorHAnsi" w:hAnsiTheme="minorHAnsi" w:cstheme="minorHAnsi"/>
        </w:rPr>
        <w:t xml:space="preserve"> over the next decade, having already </w:t>
      </w:r>
      <w:r w:rsidR="00E81AB4">
        <w:rPr>
          <w:rFonts w:asciiTheme="minorHAnsi" w:hAnsiTheme="minorHAnsi" w:cstheme="minorHAnsi"/>
        </w:rPr>
        <w:t>doubled in the last ten years.</w:t>
      </w:r>
      <w:r w:rsidR="00E81AB4">
        <w:rPr>
          <w:rStyle w:val="EndnoteReference"/>
          <w:rFonts w:asciiTheme="minorHAnsi" w:hAnsiTheme="minorHAnsi" w:cstheme="minorHAnsi"/>
        </w:rPr>
        <w:endnoteReference w:id="24"/>
      </w:r>
    </w:p>
    <w:p w:rsidR="00BC556C" w:rsidRDefault="00BC556C" w:rsidP="0063732B">
      <w:pPr>
        <w:pStyle w:val="NoSpacing"/>
        <w:rPr>
          <w:rFonts w:asciiTheme="minorHAnsi" w:hAnsiTheme="minorHAnsi" w:cstheme="minorHAnsi"/>
          <w:b/>
          <w:i/>
        </w:rPr>
      </w:pPr>
    </w:p>
    <w:p w:rsidR="00CB763F" w:rsidRPr="00660F44" w:rsidRDefault="003375F3" w:rsidP="0063732B">
      <w:pPr>
        <w:pStyle w:val="NoSpacing"/>
        <w:rPr>
          <w:rFonts w:asciiTheme="minorHAnsi" w:hAnsiTheme="minorHAnsi" w:cstheme="minorHAnsi"/>
          <w:i/>
        </w:rPr>
        <w:sectPr w:rsidR="00CB763F" w:rsidRPr="00660F44" w:rsidSect="00BC556C">
          <w:endnotePr>
            <w:numFmt w:val="decimal"/>
          </w:endnotePr>
          <w:type w:val="continuous"/>
          <w:pgSz w:w="11906" w:h="16838"/>
          <w:pgMar w:top="1440" w:right="1077" w:bottom="851" w:left="1077" w:header="709" w:footer="709" w:gutter="0"/>
          <w:cols w:space="708"/>
          <w:docGrid w:linePitch="360"/>
        </w:sectPr>
      </w:pPr>
      <w:r w:rsidRPr="00660F44">
        <w:rPr>
          <w:rFonts w:asciiTheme="minorHAnsi" w:hAnsiTheme="minorHAnsi" w:cstheme="minorHAnsi"/>
          <w:b/>
          <w:i/>
        </w:rPr>
        <w:t xml:space="preserve">Current </w:t>
      </w:r>
      <w:r w:rsidR="000C30B2" w:rsidRPr="00660F44">
        <w:rPr>
          <w:rFonts w:asciiTheme="minorHAnsi" w:hAnsiTheme="minorHAnsi" w:cstheme="minorHAnsi"/>
          <w:b/>
          <w:i/>
        </w:rPr>
        <w:t xml:space="preserve">Australian </w:t>
      </w:r>
      <w:r w:rsidRPr="00660F44">
        <w:rPr>
          <w:rFonts w:asciiTheme="minorHAnsi" w:hAnsiTheme="minorHAnsi" w:cstheme="minorHAnsi"/>
          <w:b/>
          <w:i/>
        </w:rPr>
        <w:t xml:space="preserve">government policy is to increase export of </w:t>
      </w:r>
      <w:r w:rsidR="00E00F4A" w:rsidRPr="00660F44">
        <w:rPr>
          <w:rFonts w:asciiTheme="minorHAnsi" w:hAnsiTheme="minorHAnsi" w:cstheme="minorHAnsi"/>
          <w:b/>
          <w:i/>
        </w:rPr>
        <w:t>forest biomass for combustion</w:t>
      </w:r>
      <w:r w:rsidR="00E81AB4" w:rsidRPr="00660F44">
        <w:rPr>
          <w:rFonts w:asciiTheme="minorHAnsi" w:hAnsiTheme="minorHAnsi" w:cstheme="minorHAnsi"/>
          <w:b/>
          <w:i/>
        </w:rPr>
        <w:t>.</w:t>
      </w:r>
      <w:r w:rsidR="00E81AB4" w:rsidRPr="00660F44">
        <w:rPr>
          <w:rStyle w:val="EndnoteReference"/>
          <w:rFonts w:asciiTheme="minorHAnsi" w:hAnsiTheme="minorHAnsi" w:cstheme="minorHAnsi"/>
          <w:b/>
          <w:i/>
        </w:rPr>
        <w:endnoteReference w:id="25"/>
      </w:r>
    </w:p>
    <w:p w:rsidR="003375F3" w:rsidRDefault="003375F3" w:rsidP="00660F44">
      <w:pPr>
        <w:pStyle w:val="NoSpacing"/>
        <w:rPr>
          <w:rFonts w:asciiTheme="minorHAnsi" w:hAnsiTheme="minorHAnsi" w:cstheme="minorHAnsi"/>
        </w:rPr>
        <w:sectPr w:rsidR="003375F3" w:rsidSect="00CB763F">
          <w:endnotePr>
            <w:numFmt w:val="decimal"/>
          </w:endnotePr>
          <w:type w:val="continuous"/>
          <w:pgSz w:w="11906" w:h="16838"/>
          <w:pgMar w:top="1440" w:right="1080" w:bottom="1440" w:left="1080" w:header="708" w:footer="708" w:gutter="0"/>
          <w:cols w:space="708"/>
          <w:docGrid w:linePitch="360"/>
        </w:sectPr>
      </w:pPr>
    </w:p>
    <w:p w:rsidR="00E00F4A" w:rsidRPr="00BA0B6C" w:rsidRDefault="003D576D" w:rsidP="00CB763F">
      <w:pPr>
        <w:pStyle w:val="NoSpacing"/>
        <w:rPr>
          <w:rFonts w:asciiTheme="minorHAnsi" w:hAnsiTheme="minorHAnsi" w:cstheme="minorHAnsi"/>
          <w:b/>
        </w:rPr>
      </w:pPr>
      <w:r>
        <w:rPr>
          <w:rFonts w:asciiTheme="minorHAnsi" w:hAnsiTheme="minorHAnsi" w:cstheme="minorHAnsi"/>
          <w:b/>
        </w:rPr>
        <w:lastRenderedPageBreak/>
        <w:t xml:space="preserve">4. </w:t>
      </w:r>
      <w:r w:rsidR="00CB763F">
        <w:rPr>
          <w:rFonts w:asciiTheme="minorHAnsi" w:hAnsiTheme="minorHAnsi" w:cstheme="minorHAnsi"/>
          <w:b/>
        </w:rPr>
        <w:t xml:space="preserve">Nature Based Solutions: Protecting and </w:t>
      </w:r>
      <w:r w:rsidR="00E00F4A" w:rsidRPr="00BA0B6C">
        <w:rPr>
          <w:rFonts w:asciiTheme="minorHAnsi" w:hAnsiTheme="minorHAnsi" w:cstheme="minorHAnsi"/>
          <w:b/>
        </w:rPr>
        <w:t>enhanc</w:t>
      </w:r>
      <w:r w:rsidR="00CB763F">
        <w:rPr>
          <w:rFonts w:asciiTheme="minorHAnsi" w:hAnsiTheme="minorHAnsi" w:cstheme="minorHAnsi"/>
          <w:b/>
        </w:rPr>
        <w:t>ing</w:t>
      </w:r>
      <w:r w:rsidR="00E00F4A" w:rsidRPr="00BA0B6C">
        <w:rPr>
          <w:rFonts w:asciiTheme="minorHAnsi" w:hAnsiTheme="minorHAnsi" w:cstheme="minorHAnsi"/>
          <w:b/>
        </w:rPr>
        <w:t xml:space="preserve"> the biological integrity of natural systems </w:t>
      </w:r>
      <w:r w:rsidR="00A54F87">
        <w:rPr>
          <w:rFonts w:asciiTheme="minorHAnsi" w:hAnsiTheme="minorHAnsi" w:cstheme="minorHAnsi"/>
          <w:b/>
        </w:rPr>
        <w:t xml:space="preserve">so they can withstand </w:t>
      </w:r>
      <w:r w:rsidR="00E00F4A" w:rsidRPr="00BA0B6C">
        <w:rPr>
          <w:rFonts w:asciiTheme="minorHAnsi" w:hAnsiTheme="minorHAnsi" w:cstheme="minorHAnsi"/>
          <w:b/>
        </w:rPr>
        <w:t xml:space="preserve">climate change </w:t>
      </w:r>
      <w:r w:rsidR="00A54F87">
        <w:rPr>
          <w:rFonts w:asciiTheme="minorHAnsi" w:hAnsiTheme="minorHAnsi" w:cstheme="minorHAnsi"/>
          <w:b/>
        </w:rPr>
        <w:t xml:space="preserve">impact and continue capturing and storing </w:t>
      </w:r>
      <w:r w:rsidR="00E00F4A" w:rsidRPr="00BA0B6C">
        <w:rPr>
          <w:rFonts w:asciiTheme="minorHAnsi" w:hAnsiTheme="minorHAnsi" w:cstheme="minorHAnsi"/>
          <w:b/>
        </w:rPr>
        <w:t>carbon (CDR).</w:t>
      </w:r>
    </w:p>
    <w:p w:rsidR="00E00F4A" w:rsidRPr="0074000F" w:rsidRDefault="00E00F4A" w:rsidP="00E00F4A">
      <w:pPr>
        <w:pStyle w:val="NoSpacing"/>
        <w:rPr>
          <w:rFonts w:asciiTheme="minorHAnsi" w:hAnsiTheme="minorHAnsi" w:cstheme="minorHAnsi"/>
        </w:rPr>
      </w:pPr>
    </w:p>
    <w:p w:rsidR="00E00F4A" w:rsidRPr="0074000F" w:rsidRDefault="00E00F4A" w:rsidP="00E00F4A">
      <w:pPr>
        <w:pStyle w:val="NoSpacing"/>
        <w:rPr>
          <w:rFonts w:asciiTheme="minorHAnsi" w:hAnsiTheme="minorHAnsi" w:cstheme="minorHAnsi"/>
        </w:rPr>
      </w:pPr>
      <w:r w:rsidRPr="0074000F">
        <w:rPr>
          <w:rFonts w:asciiTheme="minorHAnsi" w:hAnsiTheme="minorHAnsi" w:cstheme="minorHAnsi"/>
        </w:rPr>
        <w:t xml:space="preserve">Even with emission reduction across all industrial sectors </w:t>
      </w:r>
      <w:r w:rsidR="00B90E06">
        <w:rPr>
          <w:rFonts w:asciiTheme="minorHAnsi" w:hAnsiTheme="minorHAnsi" w:cstheme="minorHAnsi"/>
        </w:rPr>
        <w:t xml:space="preserve">we will have </w:t>
      </w:r>
      <w:r w:rsidR="00E81AB4">
        <w:rPr>
          <w:rFonts w:asciiTheme="minorHAnsi" w:hAnsiTheme="minorHAnsi" w:cstheme="minorHAnsi"/>
        </w:rPr>
        <w:t xml:space="preserve">an ‘emission gap’ </w:t>
      </w:r>
      <w:r w:rsidR="00E81AB4">
        <w:rPr>
          <w:rStyle w:val="EndnoteReference"/>
          <w:rFonts w:asciiTheme="minorHAnsi" w:hAnsiTheme="minorHAnsi" w:cstheme="minorHAnsi"/>
        </w:rPr>
        <w:endnoteReference w:id="26"/>
      </w:r>
      <w:r w:rsidR="00E81AB4">
        <w:rPr>
          <w:rFonts w:asciiTheme="minorHAnsi" w:hAnsiTheme="minorHAnsi" w:cstheme="minorHAnsi"/>
        </w:rPr>
        <w:t xml:space="preserve"> in the ‘carbon budget’.</w:t>
      </w:r>
      <w:r w:rsidR="00E81AB4">
        <w:rPr>
          <w:rStyle w:val="EndnoteReference"/>
          <w:rFonts w:asciiTheme="minorHAnsi" w:hAnsiTheme="minorHAnsi" w:cstheme="minorHAnsi"/>
        </w:rPr>
        <w:endnoteReference w:id="27"/>
      </w:r>
      <w:r w:rsidRPr="0074000F">
        <w:rPr>
          <w:rFonts w:asciiTheme="minorHAnsi" w:hAnsiTheme="minorHAnsi" w:cstheme="minorHAnsi"/>
        </w:rPr>
        <w:t xml:space="preserve">  This must be closed within a decade to prevent warming beyond an already dangerous 1.5</w:t>
      </w:r>
      <w:r w:rsidR="00B90E06" w:rsidRPr="00B90E06">
        <w:rPr>
          <w:rFonts w:asciiTheme="minorHAnsi" w:hAnsiTheme="minorHAnsi" w:cstheme="minorHAnsi"/>
          <w:vertAlign w:val="superscript"/>
        </w:rPr>
        <w:t>O</w:t>
      </w:r>
      <w:r w:rsidRPr="0074000F">
        <w:rPr>
          <w:rFonts w:asciiTheme="minorHAnsi" w:hAnsiTheme="minorHAnsi" w:cstheme="minorHAnsi"/>
        </w:rPr>
        <w:t>.  Nature Based Solutions</w:t>
      </w:r>
      <w:r w:rsidR="00B90E06">
        <w:rPr>
          <w:rFonts w:asciiTheme="minorHAnsi" w:hAnsiTheme="minorHAnsi" w:cstheme="minorHAnsi"/>
        </w:rPr>
        <w:t>,</w:t>
      </w:r>
      <w:r w:rsidRPr="0074000F">
        <w:rPr>
          <w:rFonts w:asciiTheme="minorHAnsi" w:hAnsiTheme="minorHAnsi" w:cstheme="minorHAnsi"/>
        </w:rPr>
        <w:t xml:space="preserve"> effective without incurring risk</w:t>
      </w:r>
      <w:r w:rsidR="00B90E06">
        <w:rPr>
          <w:rFonts w:asciiTheme="minorHAnsi" w:hAnsiTheme="minorHAnsi" w:cstheme="minorHAnsi"/>
        </w:rPr>
        <w:t>,</w:t>
      </w:r>
      <w:r w:rsidRPr="0074000F">
        <w:rPr>
          <w:rFonts w:asciiTheme="minorHAnsi" w:hAnsiTheme="minorHAnsi" w:cstheme="minorHAnsi"/>
        </w:rPr>
        <w:t xml:space="preserve"> are </w:t>
      </w:r>
      <w:r w:rsidR="00B90E06">
        <w:rPr>
          <w:rFonts w:asciiTheme="minorHAnsi" w:hAnsiTheme="minorHAnsi" w:cstheme="minorHAnsi"/>
        </w:rPr>
        <w:t xml:space="preserve">now </w:t>
      </w:r>
      <w:r w:rsidRPr="0074000F">
        <w:rPr>
          <w:rFonts w:asciiTheme="minorHAnsi" w:hAnsiTheme="minorHAnsi" w:cstheme="minorHAnsi"/>
        </w:rPr>
        <w:t xml:space="preserve">considered </w:t>
      </w:r>
      <w:r w:rsidR="00B90E06">
        <w:rPr>
          <w:rFonts w:asciiTheme="minorHAnsi" w:hAnsiTheme="minorHAnsi" w:cstheme="minorHAnsi"/>
        </w:rPr>
        <w:t xml:space="preserve">by the IPCC to be </w:t>
      </w:r>
      <w:r w:rsidRPr="0074000F">
        <w:rPr>
          <w:rFonts w:asciiTheme="minorHAnsi" w:hAnsiTheme="minorHAnsi" w:cstheme="minorHAnsi"/>
        </w:rPr>
        <w:t>preferable to geo-engine</w:t>
      </w:r>
      <w:r w:rsidR="00310D52" w:rsidRPr="0074000F">
        <w:rPr>
          <w:rFonts w:asciiTheme="minorHAnsi" w:hAnsiTheme="minorHAnsi" w:cstheme="minorHAnsi"/>
        </w:rPr>
        <w:t>ering and/or Bioenergy with Carb</w:t>
      </w:r>
      <w:r w:rsidRPr="0074000F">
        <w:rPr>
          <w:rFonts w:asciiTheme="minorHAnsi" w:hAnsiTheme="minorHAnsi" w:cstheme="minorHAnsi"/>
        </w:rPr>
        <w:t>on Capture and Storage. (BECCS)</w:t>
      </w:r>
      <w:r w:rsidR="00B90E06">
        <w:rPr>
          <w:rFonts w:asciiTheme="minorHAnsi" w:hAnsiTheme="minorHAnsi" w:cstheme="minorHAnsi"/>
        </w:rPr>
        <w:t xml:space="preserve">, </w:t>
      </w:r>
      <w:r w:rsidRPr="0074000F">
        <w:rPr>
          <w:rFonts w:asciiTheme="minorHAnsi" w:hAnsiTheme="minorHAnsi" w:cstheme="minorHAnsi"/>
        </w:rPr>
        <w:t xml:space="preserve">within the </w:t>
      </w:r>
      <w:r w:rsidR="00EE3544">
        <w:rPr>
          <w:rFonts w:asciiTheme="minorHAnsi" w:hAnsiTheme="minorHAnsi" w:cstheme="minorHAnsi"/>
        </w:rPr>
        <w:t>timeframe</w:t>
      </w:r>
      <w:r w:rsidR="00B90E06">
        <w:rPr>
          <w:rFonts w:asciiTheme="minorHAnsi" w:hAnsiTheme="minorHAnsi" w:cstheme="minorHAnsi"/>
        </w:rPr>
        <w:t xml:space="preserve"> we have in which to act</w:t>
      </w:r>
      <w:r w:rsidR="00EE3544">
        <w:rPr>
          <w:rFonts w:asciiTheme="minorHAnsi" w:hAnsiTheme="minorHAnsi" w:cstheme="minorHAnsi"/>
        </w:rPr>
        <w:t>.</w:t>
      </w:r>
      <w:r w:rsidRPr="0074000F">
        <w:rPr>
          <w:rFonts w:asciiTheme="minorHAnsi" w:hAnsiTheme="minorHAnsi" w:cstheme="minorHAnsi"/>
          <w:color w:val="FF0000"/>
        </w:rPr>
        <w:t xml:space="preserve"> </w:t>
      </w:r>
      <w:r w:rsidRPr="0074000F">
        <w:rPr>
          <w:rFonts w:asciiTheme="minorHAnsi" w:hAnsiTheme="minorHAnsi" w:cstheme="minorHAnsi"/>
        </w:rPr>
        <w:t xml:space="preserve">For example, protection and targeted reforestation of tropical forests would reduce total emissions by as much as 5 billion tonnes of carbon each year, i.e. a </w:t>
      </w:r>
      <w:r w:rsidRPr="00B90E06">
        <w:rPr>
          <w:rFonts w:asciiTheme="minorHAnsi" w:hAnsiTheme="minorHAnsi" w:cstheme="minorHAnsi"/>
          <w:i/>
        </w:rPr>
        <w:t xml:space="preserve">reduced source </w:t>
      </w:r>
      <w:r w:rsidRPr="0074000F">
        <w:rPr>
          <w:rFonts w:asciiTheme="minorHAnsi" w:hAnsiTheme="minorHAnsi" w:cstheme="minorHAnsi"/>
        </w:rPr>
        <w:t xml:space="preserve">of 1 </w:t>
      </w:r>
      <w:r w:rsidR="0074000F" w:rsidRPr="0074000F">
        <w:rPr>
          <w:rFonts w:asciiTheme="minorHAnsi" w:hAnsiTheme="minorHAnsi" w:cstheme="minorHAnsi"/>
        </w:rPr>
        <w:t>billion</w:t>
      </w:r>
      <w:r w:rsidR="00310D52" w:rsidRPr="0074000F">
        <w:rPr>
          <w:rFonts w:asciiTheme="minorHAnsi" w:hAnsiTheme="minorHAnsi" w:cstheme="minorHAnsi"/>
        </w:rPr>
        <w:t xml:space="preserve"> tonnes and an </w:t>
      </w:r>
      <w:r w:rsidR="00310D52" w:rsidRPr="00B90E06">
        <w:rPr>
          <w:rFonts w:asciiTheme="minorHAnsi" w:hAnsiTheme="minorHAnsi" w:cstheme="minorHAnsi"/>
          <w:i/>
        </w:rPr>
        <w:t>increased sink</w:t>
      </w:r>
      <w:r w:rsidR="00310D52" w:rsidRPr="0074000F">
        <w:rPr>
          <w:rFonts w:asciiTheme="minorHAnsi" w:hAnsiTheme="minorHAnsi" w:cstheme="minorHAnsi"/>
        </w:rPr>
        <w:t xml:space="preserve"> of</w:t>
      </w:r>
      <w:r w:rsidR="00B90E06">
        <w:rPr>
          <w:rFonts w:asciiTheme="minorHAnsi" w:hAnsiTheme="minorHAnsi" w:cstheme="minorHAnsi"/>
        </w:rPr>
        <w:t xml:space="preserve"> 4 billion tonnes a </w:t>
      </w:r>
      <w:r w:rsidR="00EE3544">
        <w:rPr>
          <w:rFonts w:asciiTheme="minorHAnsi" w:hAnsiTheme="minorHAnsi" w:cstheme="minorHAnsi"/>
        </w:rPr>
        <w:t>year.</w:t>
      </w:r>
      <w:r w:rsidR="00EE3544">
        <w:rPr>
          <w:rStyle w:val="EndnoteReference"/>
          <w:rFonts w:asciiTheme="minorHAnsi" w:hAnsiTheme="minorHAnsi" w:cstheme="minorHAnsi"/>
        </w:rPr>
        <w:endnoteReference w:id="28"/>
      </w:r>
      <w:r w:rsidRPr="0074000F">
        <w:rPr>
          <w:rFonts w:asciiTheme="minorHAnsi" w:hAnsiTheme="minorHAnsi" w:cstheme="minorHAnsi"/>
        </w:rPr>
        <w:t xml:space="preserve">  Yet</w:t>
      </w:r>
      <w:r w:rsidR="00B90E06">
        <w:rPr>
          <w:rFonts w:asciiTheme="minorHAnsi" w:hAnsiTheme="minorHAnsi" w:cstheme="minorHAnsi"/>
        </w:rPr>
        <w:t>,</w:t>
      </w:r>
      <w:r w:rsidRPr="0074000F">
        <w:rPr>
          <w:rFonts w:asciiTheme="minorHAnsi" w:hAnsiTheme="minorHAnsi" w:cstheme="minorHAnsi"/>
        </w:rPr>
        <w:t xml:space="preserve"> </w:t>
      </w:r>
      <w:r w:rsidRPr="00B90E06">
        <w:rPr>
          <w:rFonts w:asciiTheme="minorHAnsi" w:hAnsiTheme="minorHAnsi" w:cstheme="minorHAnsi"/>
          <w:i/>
        </w:rPr>
        <w:t>Australia has some of the most carbon dense forests in the world</w:t>
      </w:r>
      <w:r w:rsidRPr="0074000F">
        <w:rPr>
          <w:rFonts w:asciiTheme="minorHAnsi" w:hAnsiTheme="minorHAnsi" w:cstheme="minorHAnsi"/>
        </w:rPr>
        <w:t xml:space="preserve"> capable of storing more carbon per </w:t>
      </w:r>
      <w:r w:rsidR="00EE3544">
        <w:rPr>
          <w:rFonts w:asciiTheme="minorHAnsi" w:hAnsiTheme="minorHAnsi" w:cstheme="minorHAnsi"/>
        </w:rPr>
        <w:t>hectare than tropical forests.</w:t>
      </w:r>
      <w:r w:rsidR="00EE3544">
        <w:rPr>
          <w:rStyle w:val="EndnoteReference"/>
          <w:rFonts w:asciiTheme="minorHAnsi" w:hAnsiTheme="minorHAnsi" w:cstheme="minorHAnsi"/>
        </w:rPr>
        <w:endnoteReference w:id="29"/>
      </w:r>
      <w:r w:rsidRPr="0074000F">
        <w:rPr>
          <w:rFonts w:asciiTheme="minorHAnsi" w:hAnsiTheme="minorHAnsi" w:cstheme="minorHAnsi"/>
        </w:rPr>
        <w:t xml:space="preserve">  </w:t>
      </w:r>
      <w:r w:rsidR="00B90E06">
        <w:rPr>
          <w:rFonts w:asciiTheme="minorHAnsi" w:hAnsiTheme="minorHAnsi" w:cstheme="minorHAnsi"/>
        </w:rPr>
        <w:t xml:space="preserve">To enable CDR to continue from </w:t>
      </w:r>
      <w:r w:rsidRPr="0074000F">
        <w:rPr>
          <w:rFonts w:asciiTheme="minorHAnsi" w:hAnsiTheme="minorHAnsi" w:cstheme="minorHAnsi"/>
        </w:rPr>
        <w:t>natural systems</w:t>
      </w:r>
      <w:r w:rsidR="00B90E06">
        <w:rPr>
          <w:rFonts w:asciiTheme="minorHAnsi" w:hAnsiTheme="minorHAnsi" w:cstheme="minorHAnsi"/>
        </w:rPr>
        <w:t xml:space="preserve"> their full protection is now regarded as </w:t>
      </w:r>
      <w:r w:rsidR="00EE3544">
        <w:rPr>
          <w:rFonts w:asciiTheme="minorHAnsi" w:hAnsiTheme="minorHAnsi" w:cstheme="minorHAnsi"/>
        </w:rPr>
        <w:t>essential.</w:t>
      </w:r>
      <w:r w:rsidR="00EE3544">
        <w:rPr>
          <w:rStyle w:val="EndnoteReference"/>
          <w:rFonts w:asciiTheme="minorHAnsi" w:hAnsiTheme="minorHAnsi" w:cstheme="minorHAnsi"/>
        </w:rPr>
        <w:endnoteReference w:id="30"/>
      </w:r>
    </w:p>
    <w:p w:rsidR="0021409F" w:rsidRPr="0074000F" w:rsidRDefault="0021409F" w:rsidP="00E00F4A">
      <w:pPr>
        <w:pStyle w:val="NoSpacing"/>
        <w:rPr>
          <w:rFonts w:asciiTheme="minorHAnsi" w:hAnsiTheme="minorHAnsi" w:cstheme="minorHAnsi"/>
        </w:rPr>
      </w:pPr>
    </w:p>
    <w:p w:rsidR="003D576D" w:rsidRDefault="003D576D" w:rsidP="00CB763F">
      <w:pPr>
        <w:pStyle w:val="NoSpacing"/>
        <w:rPr>
          <w:rFonts w:asciiTheme="minorHAnsi" w:hAnsiTheme="minorHAnsi" w:cstheme="minorHAnsi"/>
          <w:b/>
        </w:rPr>
        <w:sectPr w:rsidR="003D576D" w:rsidSect="00CB763F">
          <w:endnotePr>
            <w:numFmt w:val="decimal"/>
          </w:endnotePr>
          <w:type w:val="continuous"/>
          <w:pgSz w:w="11906" w:h="16838"/>
          <w:pgMar w:top="1440" w:right="1080" w:bottom="1440" w:left="1080" w:header="708" w:footer="708" w:gutter="0"/>
          <w:cols w:space="708"/>
          <w:docGrid w:linePitch="360"/>
        </w:sectPr>
      </w:pPr>
    </w:p>
    <w:p w:rsidR="0021409F" w:rsidRPr="0074000F" w:rsidRDefault="003D576D" w:rsidP="00BC556C">
      <w:pPr>
        <w:pStyle w:val="NoSpacing"/>
        <w:jc w:val="both"/>
        <w:rPr>
          <w:rFonts w:asciiTheme="minorHAnsi" w:hAnsiTheme="minorHAnsi" w:cstheme="minorHAnsi"/>
          <w:b/>
        </w:rPr>
      </w:pPr>
      <w:r>
        <w:rPr>
          <w:rFonts w:asciiTheme="minorHAnsi" w:hAnsiTheme="minorHAnsi" w:cstheme="minorHAnsi"/>
          <w:b/>
        </w:rPr>
        <w:lastRenderedPageBreak/>
        <w:t xml:space="preserve">5. </w:t>
      </w:r>
      <w:r w:rsidR="0079638A" w:rsidRPr="0074000F">
        <w:rPr>
          <w:rFonts w:asciiTheme="minorHAnsi" w:hAnsiTheme="minorHAnsi" w:cstheme="minorHAnsi"/>
          <w:b/>
        </w:rPr>
        <w:t xml:space="preserve">Flawed emission accounting creates a convention that forest bioenergy is </w:t>
      </w:r>
      <w:r w:rsidR="005F6489">
        <w:rPr>
          <w:rFonts w:asciiTheme="minorHAnsi" w:hAnsiTheme="minorHAnsi" w:cstheme="minorHAnsi"/>
          <w:b/>
        </w:rPr>
        <w:t xml:space="preserve">a legitimate </w:t>
      </w:r>
      <w:r w:rsidR="0079638A" w:rsidRPr="0074000F">
        <w:rPr>
          <w:rFonts w:asciiTheme="minorHAnsi" w:hAnsiTheme="minorHAnsi" w:cstheme="minorHAnsi"/>
          <w:b/>
        </w:rPr>
        <w:t>renewable, thereby attracting misinformed social acceptance (social licence) and financial benefits.</w:t>
      </w:r>
    </w:p>
    <w:p w:rsidR="0079638A" w:rsidRPr="0074000F" w:rsidRDefault="0079638A" w:rsidP="00BC556C">
      <w:pPr>
        <w:pStyle w:val="NoSpacing"/>
        <w:jc w:val="both"/>
        <w:rPr>
          <w:rFonts w:asciiTheme="minorHAnsi" w:hAnsiTheme="minorHAnsi" w:cstheme="minorHAnsi"/>
        </w:rPr>
      </w:pPr>
      <w:r w:rsidRPr="0074000F">
        <w:rPr>
          <w:rFonts w:asciiTheme="minorHAnsi" w:hAnsiTheme="minorHAnsi" w:cstheme="minorHAnsi"/>
        </w:rPr>
        <w:t>Emission</w:t>
      </w:r>
      <w:r w:rsidR="00BA0B6C">
        <w:rPr>
          <w:rFonts w:asciiTheme="minorHAnsi" w:hAnsiTheme="minorHAnsi" w:cstheme="minorHAnsi"/>
        </w:rPr>
        <w:t>s</w:t>
      </w:r>
      <w:r w:rsidRPr="0074000F">
        <w:rPr>
          <w:rFonts w:asciiTheme="minorHAnsi" w:hAnsiTheme="minorHAnsi" w:cstheme="minorHAnsi"/>
        </w:rPr>
        <w:t xml:space="preserve"> from forest biomass combustion are not accounted for in the energy sector.  Relegated to the Land Use and Land Use Change and Forestry (LULUCF) sector, it is assumed </w:t>
      </w:r>
      <w:r w:rsidR="005F6489">
        <w:rPr>
          <w:rFonts w:asciiTheme="minorHAnsi" w:hAnsiTheme="minorHAnsi" w:cstheme="minorHAnsi"/>
        </w:rPr>
        <w:t xml:space="preserve">that there </w:t>
      </w:r>
      <w:r w:rsidRPr="0074000F">
        <w:rPr>
          <w:rFonts w:asciiTheme="minorHAnsi" w:hAnsiTheme="minorHAnsi" w:cstheme="minorHAnsi"/>
        </w:rPr>
        <w:t>they will be accounted for</w:t>
      </w:r>
      <w:r w:rsidR="005F6489">
        <w:rPr>
          <w:rFonts w:asciiTheme="minorHAnsi" w:hAnsiTheme="minorHAnsi" w:cstheme="minorHAnsi"/>
        </w:rPr>
        <w:t xml:space="preserve"> in quantification of </w:t>
      </w:r>
      <w:r w:rsidRPr="0074000F">
        <w:rPr>
          <w:rFonts w:asciiTheme="minorHAnsi" w:hAnsiTheme="minorHAnsi" w:cstheme="minorHAnsi"/>
        </w:rPr>
        <w:t>emissions from deforestation and/or forest degradation</w:t>
      </w:r>
      <w:r w:rsidR="005F6489">
        <w:rPr>
          <w:rFonts w:asciiTheme="minorHAnsi" w:hAnsiTheme="minorHAnsi" w:cstheme="minorHAnsi"/>
        </w:rPr>
        <w:t xml:space="preserve">.  However </w:t>
      </w:r>
      <w:r w:rsidRPr="0074000F">
        <w:rPr>
          <w:rFonts w:asciiTheme="minorHAnsi" w:hAnsiTheme="minorHAnsi" w:cstheme="minorHAnsi"/>
        </w:rPr>
        <w:t>biomass combustion emissions are not adequately accounted for in the LU</w:t>
      </w:r>
      <w:r w:rsidR="00F37376" w:rsidRPr="0074000F">
        <w:rPr>
          <w:rFonts w:asciiTheme="minorHAnsi" w:hAnsiTheme="minorHAnsi" w:cstheme="minorHAnsi"/>
        </w:rPr>
        <w:t>L</w:t>
      </w:r>
      <w:r w:rsidRPr="0074000F">
        <w:rPr>
          <w:rFonts w:asciiTheme="minorHAnsi" w:hAnsiTheme="minorHAnsi" w:cstheme="minorHAnsi"/>
        </w:rPr>
        <w:t>U</w:t>
      </w:r>
      <w:r w:rsidR="00F37376" w:rsidRPr="0074000F">
        <w:rPr>
          <w:rFonts w:asciiTheme="minorHAnsi" w:hAnsiTheme="minorHAnsi" w:cstheme="minorHAnsi"/>
        </w:rPr>
        <w:t xml:space="preserve">CF </w:t>
      </w:r>
      <w:r w:rsidR="00F37376" w:rsidRPr="0074000F">
        <w:rPr>
          <w:rFonts w:asciiTheme="minorHAnsi" w:hAnsiTheme="minorHAnsi" w:cstheme="minorHAnsi"/>
        </w:rPr>
        <w:lastRenderedPageBreak/>
        <w:t>sector</w:t>
      </w:r>
      <w:r w:rsidR="005F6489">
        <w:rPr>
          <w:rFonts w:asciiTheme="minorHAnsi" w:hAnsiTheme="minorHAnsi" w:cstheme="minorHAnsi"/>
        </w:rPr>
        <w:t>,</w:t>
      </w:r>
      <w:r w:rsidR="00F37376" w:rsidRPr="0074000F">
        <w:rPr>
          <w:rFonts w:asciiTheme="minorHAnsi" w:hAnsiTheme="minorHAnsi" w:cstheme="minorHAnsi"/>
        </w:rPr>
        <w:t xml:space="preserve"> where emission accoun</w:t>
      </w:r>
      <w:r w:rsidRPr="0074000F">
        <w:rPr>
          <w:rFonts w:asciiTheme="minorHAnsi" w:hAnsiTheme="minorHAnsi" w:cstheme="minorHAnsi"/>
        </w:rPr>
        <w:t>ting loopholes and reporting gaps exist.</w:t>
      </w:r>
      <w:r w:rsidR="00EE3544">
        <w:rPr>
          <w:rStyle w:val="EndnoteReference"/>
          <w:rFonts w:asciiTheme="minorHAnsi" w:hAnsiTheme="minorHAnsi" w:cstheme="minorHAnsi"/>
        </w:rPr>
        <w:endnoteReference w:id="31"/>
      </w:r>
    </w:p>
    <w:p w:rsidR="00F37376" w:rsidRPr="0074000F" w:rsidRDefault="00F37376" w:rsidP="00BC556C">
      <w:pPr>
        <w:pStyle w:val="NoSpacing"/>
        <w:jc w:val="both"/>
        <w:rPr>
          <w:rFonts w:asciiTheme="minorHAnsi" w:hAnsiTheme="minorHAnsi" w:cstheme="minorHAnsi"/>
        </w:rPr>
      </w:pPr>
    </w:p>
    <w:p w:rsidR="00F37376" w:rsidRPr="0074000F" w:rsidRDefault="003D576D" w:rsidP="00BC556C">
      <w:pPr>
        <w:pStyle w:val="NoSpacing"/>
        <w:jc w:val="both"/>
        <w:rPr>
          <w:rFonts w:asciiTheme="minorHAnsi" w:hAnsiTheme="minorHAnsi" w:cstheme="minorHAnsi"/>
          <w:b/>
        </w:rPr>
      </w:pPr>
      <w:r>
        <w:rPr>
          <w:rFonts w:asciiTheme="minorHAnsi" w:hAnsiTheme="minorHAnsi" w:cstheme="minorHAnsi"/>
          <w:b/>
        </w:rPr>
        <w:t xml:space="preserve">6. </w:t>
      </w:r>
      <w:r w:rsidR="00F37376" w:rsidRPr="0074000F">
        <w:rPr>
          <w:rFonts w:asciiTheme="minorHAnsi" w:hAnsiTheme="minorHAnsi" w:cstheme="minorHAnsi"/>
          <w:b/>
        </w:rPr>
        <w:t>Alienation of scarce land resources to log and/or grow forest biomass feedstock.</w:t>
      </w:r>
    </w:p>
    <w:p w:rsidR="00F37376" w:rsidRPr="0074000F" w:rsidRDefault="00F37376" w:rsidP="00BC556C">
      <w:pPr>
        <w:pStyle w:val="NoSpacing"/>
        <w:jc w:val="both"/>
        <w:rPr>
          <w:rFonts w:asciiTheme="minorHAnsi" w:hAnsiTheme="minorHAnsi" w:cstheme="minorHAnsi"/>
        </w:rPr>
      </w:pPr>
      <w:r w:rsidRPr="0074000F">
        <w:rPr>
          <w:rFonts w:asciiTheme="minorHAnsi" w:hAnsiTheme="minorHAnsi" w:cstheme="minorHAnsi"/>
        </w:rPr>
        <w:t>Forest derived bioenergy</w:t>
      </w:r>
      <w:r w:rsidR="007B0C9F" w:rsidRPr="0074000F">
        <w:rPr>
          <w:rFonts w:asciiTheme="minorHAnsi" w:hAnsiTheme="minorHAnsi" w:cstheme="minorHAnsi"/>
        </w:rPr>
        <w:t xml:space="preserve"> is placing additional and significant pressure on the global forest resource.  There is a push to establish large scale genetically engineered plantations of native species for BECCS as a modelled climate change strategy.  This would impact habitat critical for the retention of terrestrial biodiversity (especially forests) and land</w:t>
      </w:r>
      <w:r w:rsidR="00EE3544">
        <w:rPr>
          <w:rFonts w:asciiTheme="minorHAnsi" w:hAnsiTheme="minorHAnsi" w:cstheme="minorHAnsi"/>
        </w:rPr>
        <w:t xml:space="preserve"> required for food production.</w:t>
      </w:r>
      <w:r w:rsidR="00EE3544">
        <w:rPr>
          <w:rStyle w:val="EndnoteReference"/>
          <w:rFonts w:asciiTheme="minorHAnsi" w:hAnsiTheme="minorHAnsi" w:cstheme="minorHAnsi"/>
        </w:rPr>
        <w:endnoteReference w:id="32"/>
      </w:r>
    </w:p>
    <w:p w:rsidR="003D576D" w:rsidRDefault="003D576D" w:rsidP="00BC556C">
      <w:pPr>
        <w:pStyle w:val="NoSpacing"/>
        <w:jc w:val="both"/>
        <w:rPr>
          <w:rFonts w:asciiTheme="minorHAnsi" w:hAnsiTheme="minorHAnsi" w:cstheme="minorHAnsi"/>
        </w:rPr>
        <w:sectPr w:rsidR="003D576D" w:rsidSect="00BC556C">
          <w:endnotePr>
            <w:numFmt w:val="decimal"/>
          </w:endnotePr>
          <w:type w:val="continuous"/>
          <w:pgSz w:w="11906" w:h="16838"/>
          <w:pgMar w:top="1440" w:right="1080" w:bottom="1440" w:left="1080" w:header="708" w:footer="708" w:gutter="0"/>
          <w:cols w:num="2" w:space="624"/>
          <w:docGrid w:linePitch="360"/>
        </w:sectPr>
      </w:pPr>
    </w:p>
    <w:p w:rsidR="007B0C9F" w:rsidRPr="0074000F" w:rsidRDefault="007B0C9F" w:rsidP="00F37376">
      <w:pPr>
        <w:pStyle w:val="NoSpacing"/>
        <w:rPr>
          <w:rFonts w:asciiTheme="minorHAnsi" w:hAnsiTheme="minorHAnsi" w:cstheme="minorHAnsi"/>
        </w:rPr>
      </w:pPr>
    </w:p>
    <w:p w:rsidR="00660F44" w:rsidRDefault="00660F44" w:rsidP="002B61BA">
      <w:pPr>
        <w:pStyle w:val="NoSpacing"/>
        <w:jc w:val="center"/>
        <w:rPr>
          <w:rFonts w:asciiTheme="minorHAnsi" w:hAnsiTheme="minorHAnsi" w:cstheme="minorHAnsi"/>
          <w:b/>
          <w:sz w:val="28"/>
          <w:szCs w:val="28"/>
        </w:rPr>
      </w:pPr>
    </w:p>
    <w:p w:rsidR="007B0C9F" w:rsidRPr="00814BD4" w:rsidRDefault="002B61BA" w:rsidP="002B61BA">
      <w:pPr>
        <w:pStyle w:val="NoSpacing"/>
        <w:jc w:val="center"/>
        <w:rPr>
          <w:rFonts w:asciiTheme="minorHAnsi" w:hAnsiTheme="minorHAnsi" w:cstheme="minorHAnsi"/>
          <w:b/>
          <w:sz w:val="28"/>
          <w:szCs w:val="28"/>
        </w:rPr>
      </w:pPr>
      <w:r w:rsidRPr="00814BD4">
        <w:rPr>
          <w:rFonts w:asciiTheme="minorHAnsi" w:hAnsiTheme="minorHAnsi" w:cstheme="minorHAnsi"/>
          <w:b/>
          <w:sz w:val="28"/>
          <w:szCs w:val="28"/>
        </w:rPr>
        <w:t>Further explica</w:t>
      </w:r>
      <w:r w:rsidR="00660F44">
        <w:rPr>
          <w:rFonts w:asciiTheme="minorHAnsi" w:hAnsiTheme="minorHAnsi" w:cstheme="minorHAnsi"/>
          <w:b/>
          <w:sz w:val="28"/>
          <w:szCs w:val="28"/>
        </w:rPr>
        <w:t>tion of the six points</w:t>
      </w:r>
    </w:p>
    <w:p w:rsidR="00814BD4" w:rsidRDefault="00814BD4" w:rsidP="00814BD4">
      <w:pPr>
        <w:pStyle w:val="NoSpacing"/>
        <w:rPr>
          <w:rFonts w:asciiTheme="minorHAnsi" w:hAnsiTheme="minorHAnsi" w:cstheme="minorHAnsi"/>
        </w:rPr>
      </w:pPr>
    </w:p>
    <w:p w:rsidR="00C27297" w:rsidRDefault="00C27297" w:rsidP="00814BD4">
      <w:pPr>
        <w:pStyle w:val="NoSpacing"/>
        <w:rPr>
          <w:rFonts w:asciiTheme="minorHAnsi" w:hAnsiTheme="minorHAnsi" w:cstheme="minorHAnsi"/>
          <w:b/>
        </w:rPr>
        <w:sectPr w:rsidR="00C27297" w:rsidSect="00CB763F">
          <w:endnotePr>
            <w:numFmt w:val="decimal"/>
          </w:endnotePr>
          <w:type w:val="continuous"/>
          <w:pgSz w:w="11906" w:h="16838"/>
          <w:pgMar w:top="1440" w:right="1080" w:bottom="1440" w:left="1080" w:header="708" w:footer="708" w:gutter="0"/>
          <w:cols w:space="708"/>
          <w:docGrid w:linePitch="360"/>
        </w:sectPr>
      </w:pPr>
    </w:p>
    <w:p w:rsidR="002B61BA" w:rsidRPr="00C27297" w:rsidRDefault="002B61BA" w:rsidP="00BC556C">
      <w:pPr>
        <w:pStyle w:val="NoSpacing"/>
        <w:jc w:val="both"/>
        <w:rPr>
          <w:rFonts w:asciiTheme="minorHAnsi" w:hAnsiTheme="minorHAnsi" w:cstheme="minorHAnsi"/>
          <w:sz w:val="28"/>
          <w:szCs w:val="28"/>
        </w:rPr>
      </w:pPr>
      <w:r w:rsidRPr="00C27297">
        <w:rPr>
          <w:rFonts w:asciiTheme="minorHAnsi" w:hAnsiTheme="minorHAnsi" w:cstheme="minorHAnsi"/>
          <w:b/>
          <w:sz w:val="28"/>
          <w:szCs w:val="28"/>
        </w:rPr>
        <w:lastRenderedPageBreak/>
        <w:t>Forest biomass energy</w:t>
      </w:r>
      <w:r w:rsidRPr="00C27297">
        <w:rPr>
          <w:rFonts w:asciiTheme="minorHAnsi" w:hAnsiTheme="minorHAnsi" w:cstheme="minorHAnsi"/>
          <w:sz w:val="28"/>
          <w:szCs w:val="28"/>
        </w:rPr>
        <w:t>:</w:t>
      </w:r>
    </w:p>
    <w:p w:rsidR="003375F3" w:rsidRDefault="003375F3" w:rsidP="00BC556C">
      <w:pPr>
        <w:pStyle w:val="NoSpacing"/>
        <w:jc w:val="both"/>
        <w:rPr>
          <w:rFonts w:asciiTheme="minorHAnsi" w:hAnsiTheme="minorHAnsi" w:cstheme="minorHAnsi"/>
          <w:b/>
        </w:rPr>
      </w:pPr>
    </w:p>
    <w:p w:rsidR="003375F3" w:rsidRDefault="00C27297" w:rsidP="00BC556C">
      <w:pPr>
        <w:pStyle w:val="NoSpacing"/>
        <w:jc w:val="both"/>
        <w:rPr>
          <w:rFonts w:asciiTheme="minorHAnsi" w:hAnsiTheme="minorHAnsi" w:cstheme="minorHAnsi"/>
        </w:rPr>
      </w:pPr>
      <w:r>
        <w:rPr>
          <w:rFonts w:asciiTheme="minorHAnsi" w:hAnsiTheme="minorHAnsi" w:cstheme="minorHAnsi"/>
          <w:b/>
        </w:rPr>
        <w:t xml:space="preserve">1. </w:t>
      </w:r>
      <w:r w:rsidR="002B61BA" w:rsidRPr="0074000F">
        <w:rPr>
          <w:rFonts w:asciiTheme="minorHAnsi" w:hAnsiTheme="minorHAnsi" w:cstheme="minorHAnsi"/>
          <w:b/>
        </w:rPr>
        <w:t>Emits more CO2 than coal per unit of energy produced</w:t>
      </w:r>
      <w:r w:rsidR="002B61BA" w:rsidRPr="0074000F">
        <w:rPr>
          <w:rFonts w:asciiTheme="minorHAnsi" w:hAnsiTheme="minorHAnsi" w:cstheme="minorHAnsi"/>
        </w:rPr>
        <w:t xml:space="preserve">:  “owing to biomass having lower energy density and </w:t>
      </w:r>
      <w:r w:rsidR="00EE3544">
        <w:rPr>
          <w:rFonts w:asciiTheme="minorHAnsi" w:hAnsiTheme="minorHAnsi" w:cstheme="minorHAnsi"/>
        </w:rPr>
        <w:t>conversion efficiency”.</w:t>
      </w:r>
      <w:r w:rsidR="00EE3544">
        <w:rPr>
          <w:rStyle w:val="EndnoteReference"/>
          <w:rFonts w:asciiTheme="minorHAnsi" w:hAnsiTheme="minorHAnsi" w:cstheme="minorHAnsi"/>
        </w:rPr>
        <w:endnoteReference w:id="33"/>
      </w:r>
      <w:r w:rsidR="002B61BA" w:rsidRPr="0074000F">
        <w:rPr>
          <w:rFonts w:asciiTheme="minorHAnsi" w:hAnsiTheme="minorHAnsi" w:cstheme="minorHAnsi"/>
        </w:rPr>
        <w:t xml:space="preserve">  </w:t>
      </w:r>
      <w:r w:rsidR="00833CCA">
        <w:rPr>
          <w:rFonts w:asciiTheme="minorHAnsi" w:hAnsiTheme="minorHAnsi" w:cstheme="minorHAnsi"/>
        </w:rPr>
        <w:t xml:space="preserve">Forest biomass plants </w:t>
      </w:r>
      <w:r w:rsidR="003375F3">
        <w:rPr>
          <w:rFonts w:asciiTheme="minorHAnsi" w:hAnsiTheme="minorHAnsi" w:cstheme="minorHAnsi"/>
        </w:rPr>
        <w:t xml:space="preserve">can </w:t>
      </w:r>
      <w:proofErr w:type="gramStart"/>
      <w:r w:rsidR="00833CCA">
        <w:rPr>
          <w:rFonts w:asciiTheme="minorHAnsi" w:hAnsiTheme="minorHAnsi" w:cstheme="minorHAnsi"/>
        </w:rPr>
        <w:t xml:space="preserve">emit </w:t>
      </w:r>
      <w:r w:rsidR="003375F3">
        <w:rPr>
          <w:rFonts w:asciiTheme="minorHAnsi" w:hAnsiTheme="minorHAnsi" w:cstheme="minorHAnsi"/>
        </w:rPr>
        <w:t xml:space="preserve"> 65</w:t>
      </w:r>
      <w:proofErr w:type="gramEnd"/>
      <w:r w:rsidR="003375F3">
        <w:rPr>
          <w:rFonts w:asciiTheme="minorHAnsi" w:hAnsiTheme="minorHAnsi" w:cstheme="minorHAnsi"/>
        </w:rPr>
        <w:t xml:space="preserve"> </w:t>
      </w:r>
      <w:r w:rsidR="00833CCA">
        <w:rPr>
          <w:rFonts w:asciiTheme="minorHAnsi" w:hAnsiTheme="minorHAnsi" w:cstheme="minorHAnsi"/>
        </w:rPr>
        <w:t>%</w:t>
      </w:r>
      <w:r w:rsidR="003375F3">
        <w:rPr>
          <w:rFonts w:asciiTheme="minorHAnsi" w:hAnsiTheme="minorHAnsi" w:cstheme="minorHAnsi"/>
        </w:rPr>
        <w:t xml:space="preserve"> more CO2 </w:t>
      </w:r>
      <w:r w:rsidR="002B61BA" w:rsidRPr="0074000F">
        <w:rPr>
          <w:rFonts w:asciiTheme="minorHAnsi" w:hAnsiTheme="minorHAnsi" w:cstheme="minorHAnsi"/>
        </w:rPr>
        <w:t>per MWH than modern coal plants, and approximately 285 percent more than natu</w:t>
      </w:r>
      <w:r w:rsidR="00EE3544">
        <w:rPr>
          <w:rFonts w:asciiTheme="minorHAnsi" w:hAnsiTheme="minorHAnsi" w:cstheme="minorHAnsi"/>
        </w:rPr>
        <w:t>ral gas combined cycle plants.</w:t>
      </w:r>
      <w:r w:rsidR="00EE3544">
        <w:rPr>
          <w:rStyle w:val="EndnoteReference"/>
          <w:rFonts w:asciiTheme="minorHAnsi" w:hAnsiTheme="minorHAnsi" w:cstheme="minorHAnsi"/>
        </w:rPr>
        <w:endnoteReference w:id="34"/>
      </w:r>
    </w:p>
    <w:p w:rsidR="003375F3" w:rsidRDefault="003375F3" w:rsidP="00BC556C">
      <w:pPr>
        <w:pStyle w:val="NoSpacing"/>
        <w:jc w:val="both"/>
        <w:rPr>
          <w:rFonts w:asciiTheme="minorHAnsi" w:hAnsiTheme="minorHAnsi" w:cstheme="minorHAnsi"/>
          <w:b/>
        </w:rPr>
      </w:pPr>
    </w:p>
    <w:p w:rsidR="002B61BA" w:rsidRPr="0074000F" w:rsidRDefault="00B10460" w:rsidP="00BC556C">
      <w:pPr>
        <w:pStyle w:val="NoSpacing"/>
        <w:jc w:val="both"/>
        <w:rPr>
          <w:rFonts w:asciiTheme="minorHAnsi" w:hAnsiTheme="minorHAnsi" w:cstheme="minorHAnsi"/>
        </w:rPr>
      </w:pPr>
      <w:r>
        <w:rPr>
          <w:rFonts w:asciiTheme="minorHAnsi" w:hAnsiTheme="minorHAnsi" w:cstheme="minorHAnsi"/>
          <w:b/>
        </w:rPr>
        <w:t>Is n</w:t>
      </w:r>
      <w:r w:rsidR="002B61BA" w:rsidRPr="0074000F">
        <w:rPr>
          <w:rFonts w:asciiTheme="minorHAnsi" w:hAnsiTheme="minorHAnsi" w:cstheme="minorHAnsi"/>
          <w:b/>
        </w:rPr>
        <w:t>ot carbon neutral</w:t>
      </w:r>
      <w:r w:rsidR="002B61BA" w:rsidRPr="0074000F">
        <w:rPr>
          <w:rFonts w:asciiTheme="minorHAnsi" w:hAnsiTheme="minorHAnsi" w:cstheme="minorHAnsi"/>
        </w:rPr>
        <w:t>:  Using forests for bioenergy (as wood pellets or chips) by logging live forest biomass</w:t>
      </w:r>
      <w:r w:rsidR="00EE3544">
        <w:rPr>
          <w:rFonts w:asciiTheme="minorHAnsi" w:hAnsiTheme="minorHAnsi" w:cstheme="minorHAnsi"/>
        </w:rPr>
        <w:t xml:space="preserve"> is not carbon neutral.</w:t>
      </w:r>
      <w:r w:rsidR="00EE3544">
        <w:rPr>
          <w:rStyle w:val="EndnoteReference"/>
          <w:rFonts w:asciiTheme="minorHAnsi" w:hAnsiTheme="minorHAnsi" w:cstheme="minorHAnsi"/>
        </w:rPr>
        <w:endnoteReference w:id="35"/>
      </w:r>
      <w:r w:rsidR="002B61BA" w:rsidRPr="0074000F">
        <w:rPr>
          <w:rFonts w:asciiTheme="minorHAnsi" w:hAnsiTheme="minorHAnsi" w:cstheme="minorHAnsi"/>
        </w:rPr>
        <w:t xml:space="preserve">  </w:t>
      </w:r>
      <w:r w:rsidR="00AE0DFC">
        <w:rPr>
          <w:rFonts w:asciiTheme="minorHAnsi" w:hAnsiTheme="minorHAnsi" w:cstheme="minorHAnsi"/>
        </w:rPr>
        <w:t>That regrowing trees re-capture</w:t>
      </w:r>
      <w:r w:rsidR="00F60607">
        <w:rPr>
          <w:rFonts w:asciiTheme="minorHAnsi" w:hAnsiTheme="minorHAnsi" w:cstheme="minorHAnsi"/>
        </w:rPr>
        <w:t>s</w:t>
      </w:r>
      <w:r w:rsidR="00AE0DFC">
        <w:rPr>
          <w:rFonts w:asciiTheme="minorHAnsi" w:hAnsiTheme="minorHAnsi" w:cstheme="minorHAnsi"/>
        </w:rPr>
        <w:t xml:space="preserve"> carbon emitted upon combustion ignores</w:t>
      </w:r>
      <w:r w:rsidR="002B61BA" w:rsidRPr="0074000F">
        <w:rPr>
          <w:rFonts w:asciiTheme="minorHAnsi" w:hAnsiTheme="minorHAnsi" w:cstheme="minorHAnsi"/>
        </w:rPr>
        <w:t xml:space="preserve">: </w:t>
      </w:r>
    </w:p>
    <w:p w:rsidR="002B61BA" w:rsidRPr="0074000F" w:rsidRDefault="002B61BA" w:rsidP="00BC556C">
      <w:pPr>
        <w:pStyle w:val="NoSpacing"/>
        <w:jc w:val="both"/>
        <w:rPr>
          <w:rFonts w:asciiTheme="minorHAnsi" w:hAnsiTheme="minorHAnsi" w:cstheme="minorHAnsi"/>
        </w:rPr>
      </w:pPr>
    </w:p>
    <w:p w:rsidR="00EB5EF0" w:rsidRPr="0074000F" w:rsidRDefault="00C27297" w:rsidP="00BC556C">
      <w:pPr>
        <w:pStyle w:val="NoSpacing"/>
        <w:jc w:val="both"/>
        <w:rPr>
          <w:rFonts w:asciiTheme="minorHAnsi" w:hAnsiTheme="minorHAnsi" w:cstheme="minorHAnsi"/>
        </w:rPr>
      </w:pPr>
      <w:r>
        <w:rPr>
          <w:rFonts w:asciiTheme="minorHAnsi" w:hAnsiTheme="minorHAnsi" w:cstheme="minorHAnsi"/>
          <w:b/>
        </w:rPr>
        <w:t xml:space="preserve">- Critical timeframes by which </w:t>
      </w:r>
      <w:r w:rsidR="00833CCA">
        <w:rPr>
          <w:rFonts w:asciiTheme="minorHAnsi" w:hAnsiTheme="minorHAnsi" w:cstheme="minorHAnsi"/>
          <w:b/>
        </w:rPr>
        <w:t>emission</w:t>
      </w:r>
      <w:r>
        <w:rPr>
          <w:rFonts w:asciiTheme="minorHAnsi" w:hAnsiTheme="minorHAnsi" w:cstheme="minorHAnsi"/>
          <w:b/>
        </w:rPr>
        <w:t>s must be reduced</w:t>
      </w:r>
      <w:r w:rsidR="00833CCA">
        <w:rPr>
          <w:rFonts w:asciiTheme="minorHAnsi" w:hAnsiTheme="minorHAnsi" w:cstheme="minorHAnsi"/>
          <w:b/>
        </w:rPr>
        <w:t xml:space="preserve"> </w:t>
      </w:r>
      <w:r w:rsidR="003375F3">
        <w:rPr>
          <w:rFonts w:asciiTheme="minorHAnsi" w:hAnsiTheme="minorHAnsi" w:cstheme="minorHAnsi"/>
          <w:b/>
        </w:rPr>
        <w:t xml:space="preserve">and </w:t>
      </w:r>
      <w:r>
        <w:rPr>
          <w:rFonts w:asciiTheme="minorHAnsi" w:hAnsiTheme="minorHAnsi" w:cstheme="minorHAnsi"/>
          <w:b/>
        </w:rPr>
        <w:t xml:space="preserve">massive </w:t>
      </w:r>
      <w:r w:rsidR="003375F3">
        <w:rPr>
          <w:rFonts w:asciiTheme="minorHAnsi" w:hAnsiTheme="minorHAnsi" w:cstheme="minorHAnsi"/>
          <w:b/>
        </w:rPr>
        <w:t xml:space="preserve">draw down </w:t>
      </w:r>
      <w:r>
        <w:rPr>
          <w:rFonts w:asciiTheme="minorHAnsi" w:hAnsiTheme="minorHAnsi" w:cstheme="minorHAnsi"/>
          <w:b/>
        </w:rPr>
        <w:t>commenced</w:t>
      </w:r>
      <w:r w:rsidR="00833CCA">
        <w:rPr>
          <w:rFonts w:asciiTheme="minorHAnsi" w:hAnsiTheme="minorHAnsi" w:cstheme="minorHAnsi"/>
          <w:b/>
        </w:rPr>
        <w:t xml:space="preserve"> </w:t>
      </w:r>
      <w:r w:rsidR="003375F3" w:rsidRPr="00C27297">
        <w:rPr>
          <w:rFonts w:asciiTheme="minorHAnsi" w:hAnsiTheme="minorHAnsi" w:cstheme="minorHAnsi"/>
        </w:rPr>
        <w:t xml:space="preserve">to </w:t>
      </w:r>
      <w:r>
        <w:rPr>
          <w:rFonts w:asciiTheme="minorHAnsi" w:hAnsiTheme="minorHAnsi" w:cstheme="minorHAnsi"/>
        </w:rPr>
        <w:t xml:space="preserve">avoid </w:t>
      </w:r>
      <w:r w:rsidR="002B61BA" w:rsidRPr="00C27297">
        <w:rPr>
          <w:rFonts w:asciiTheme="minorHAnsi" w:hAnsiTheme="minorHAnsi" w:cstheme="minorHAnsi"/>
        </w:rPr>
        <w:t>irreversible</w:t>
      </w:r>
      <w:r w:rsidR="002B61BA" w:rsidRPr="0074000F">
        <w:rPr>
          <w:rFonts w:asciiTheme="minorHAnsi" w:hAnsiTheme="minorHAnsi" w:cstheme="minorHAnsi"/>
          <w:b/>
        </w:rPr>
        <w:t xml:space="preserve"> </w:t>
      </w:r>
      <w:r w:rsidR="002B61BA" w:rsidRPr="0074000F">
        <w:rPr>
          <w:rFonts w:asciiTheme="minorHAnsi" w:hAnsiTheme="minorHAnsi" w:cstheme="minorHAnsi"/>
        </w:rPr>
        <w:t>warming</w:t>
      </w:r>
      <w:r w:rsidR="00EE3544">
        <w:rPr>
          <w:rFonts w:asciiTheme="minorHAnsi" w:hAnsiTheme="minorHAnsi" w:cstheme="minorHAnsi"/>
        </w:rPr>
        <w:t>.</w:t>
      </w:r>
      <w:r w:rsidR="00EE3544">
        <w:rPr>
          <w:rStyle w:val="EndnoteReference"/>
          <w:rFonts w:asciiTheme="minorHAnsi" w:hAnsiTheme="minorHAnsi" w:cstheme="minorHAnsi"/>
        </w:rPr>
        <w:endnoteReference w:id="36"/>
      </w:r>
      <w:r w:rsidR="00EB5EF0" w:rsidRPr="0074000F">
        <w:rPr>
          <w:rFonts w:asciiTheme="minorHAnsi" w:hAnsiTheme="minorHAnsi" w:cstheme="minorHAnsi"/>
        </w:rPr>
        <w:t xml:space="preserve">  In the cas</w:t>
      </w:r>
      <w:r w:rsidR="002B61BA" w:rsidRPr="0074000F">
        <w:rPr>
          <w:rFonts w:asciiTheme="minorHAnsi" w:hAnsiTheme="minorHAnsi" w:cstheme="minorHAnsi"/>
        </w:rPr>
        <w:t>e of regrowth forests, multiple decades are required to restore carbon stocks to pre-industrially logged levels, if indeed the forests regrow at all (increasingly uncertain as extreme weather events increase with associated droughts and fires)</w:t>
      </w:r>
      <w:r w:rsidR="00F60607">
        <w:rPr>
          <w:rFonts w:asciiTheme="minorHAnsi" w:hAnsiTheme="minorHAnsi" w:cstheme="minorHAnsi"/>
        </w:rPr>
        <w:t>. F</w:t>
      </w:r>
      <w:r w:rsidR="002B61BA" w:rsidRPr="0074000F">
        <w:rPr>
          <w:rFonts w:asciiTheme="minorHAnsi" w:hAnsiTheme="minorHAnsi" w:cstheme="minorHAnsi"/>
        </w:rPr>
        <w:t>or primary</w:t>
      </w:r>
      <w:r w:rsidR="00F60607">
        <w:rPr>
          <w:rFonts w:asciiTheme="minorHAnsi" w:hAnsiTheme="minorHAnsi" w:cstheme="minorHAnsi"/>
        </w:rPr>
        <w:t>, (unmodified)</w:t>
      </w:r>
      <w:r w:rsidR="002B61BA" w:rsidRPr="0074000F">
        <w:rPr>
          <w:rFonts w:asciiTheme="minorHAnsi" w:hAnsiTheme="minorHAnsi" w:cstheme="minorHAnsi"/>
        </w:rPr>
        <w:t xml:space="preserve"> forests</w:t>
      </w:r>
      <w:r w:rsidR="00F60607">
        <w:rPr>
          <w:rFonts w:asciiTheme="minorHAnsi" w:hAnsiTheme="minorHAnsi" w:cstheme="minorHAnsi"/>
        </w:rPr>
        <w:t>,</w:t>
      </w:r>
      <w:r w:rsidR="002B61BA" w:rsidRPr="0074000F">
        <w:rPr>
          <w:rFonts w:asciiTheme="minorHAnsi" w:hAnsiTheme="minorHAnsi" w:cstheme="minorHAnsi"/>
        </w:rPr>
        <w:t xml:space="preserve"> the timeframe is many centuries.  The IPCC </w:t>
      </w:r>
      <w:r w:rsidR="00F60607">
        <w:rPr>
          <w:rFonts w:asciiTheme="minorHAnsi" w:hAnsiTheme="minorHAnsi" w:cstheme="minorHAnsi"/>
        </w:rPr>
        <w:t xml:space="preserve">states that </w:t>
      </w:r>
      <w:r w:rsidR="00AE0DFC">
        <w:rPr>
          <w:rFonts w:asciiTheme="minorHAnsi" w:hAnsiTheme="minorHAnsi" w:cstheme="minorHAnsi"/>
        </w:rPr>
        <w:t xml:space="preserve">combustion of </w:t>
      </w:r>
      <w:r w:rsidR="00EB5EF0" w:rsidRPr="0074000F">
        <w:rPr>
          <w:rFonts w:asciiTheme="minorHAnsi" w:hAnsiTheme="minorHAnsi" w:cstheme="minorHAnsi"/>
        </w:rPr>
        <w:t>forest</w:t>
      </w:r>
      <w:r w:rsidR="00AE0DFC">
        <w:rPr>
          <w:rFonts w:asciiTheme="minorHAnsi" w:hAnsiTheme="minorHAnsi" w:cstheme="minorHAnsi"/>
        </w:rPr>
        <w:t xml:space="preserve">s for energy emits more </w:t>
      </w:r>
      <w:r w:rsidR="00EB5EF0" w:rsidRPr="0074000F">
        <w:rPr>
          <w:rFonts w:asciiTheme="minorHAnsi" w:hAnsiTheme="minorHAnsi" w:cstheme="minorHAnsi"/>
        </w:rPr>
        <w:t xml:space="preserve">CO2 </w:t>
      </w:r>
      <w:r w:rsidR="002B61BA" w:rsidRPr="0074000F">
        <w:rPr>
          <w:rFonts w:asciiTheme="minorHAnsi" w:hAnsiTheme="minorHAnsi" w:cstheme="minorHAnsi"/>
        </w:rPr>
        <w:t>than fossil</w:t>
      </w:r>
      <w:r w:rsidR="00EE3544">
        <w:rPr>
          <w:rFonts w:asciiTheme="minorHAnsi" w:hAnsiTheme="minorHAnsi" w:cstheme="minorHAnsi"/>
        </w:rPr>
        <w:t xml:space="preserve"> fuel</w:t>
      </w:r>
      <w:r w:rsidR="00F60607">
        <w:rPr>
          <w:rFonts w:asciiTheme="minorHAnsi" w:hAnsiTheme="minorHAnsi" w:cstheme="minorHAnsi"/>
        </w:rPr>
        <w:t xml:space="preserve">, the re-capturing of which will require </w:t>
      </w:r>
      <w:r w:rsidR="00EE3544">
        <w:rPr>
          <w:rFonts w:asciiTheme="minorHAnsi" w:hAnsiTheme="minorHAnsi" w:cstheme="minorHAnsi"/>
        </w:rPr>
        <w:t xml:space="preserve">decades </w:t>
      </w:r>
      <w:r w:rsidR="00AE0DFC">
        <w:rPr>
          <w:rFonts w:asciiTheme="minorHAnsi" w:hAnsiTheme="minorHAnsi" w:cstheme="minorHAnsi"/>
        </w:rPr>
        <w:t xml:space="preserve">or </w:t>
      </w:r>
      <w:r w:rsidR="00EE3544">
        <w:rPr>
          <w:rFonts w:asciiTheme="minorHAnsi" w:hAnsiTheme="minorHAnsi" w:cstheme="minorHAnsi"/>
        </w:rPr>
        <w:t>centuries.</w:t>
      </w:r>
      <w:r w:rsidR="00EE3544">
        <w:rPr>
          <w:rStyle w:val="EndnoteReference"/>
          <w:rFonts w:asciiTheme="minorHAnsi" w:hAnsiTheme="minorHAnsi" w:cstheme="minorHAnsi"/>
        </w:rPr>
        <w:endnoteReference w:id="37"/>
      </w:r>
    </w:p>
    <w:p w:rsidR="00BC556C" w:rsidRDefault="00BC556C" w:rsidP="00BC556C">
      <w:pPr>
        <w:pStyle w:val="NoSpacing"/>
        <w:jc w:val="both"/>
        <w:rPr>
          <w:rFonts w:asciiTheme="minorHAnsi" w:hAnsiTheme="minorHAnsi" w:cstheme="minorHAnsi"/>
          <w:b/>
        </w:rPr>
        <w:sectPr w:rsidR="00BC556C" w:rsidSect="00BC556C">
          <w:endnotePr>
            <w:numFmt w:val="decimal"/>
          </w:endnotePr>
          <w:type w:val="continuous"/>
          <w:pgSz w:w="11906" w:h="16838"/>
          <w:pgMar w:top="1440" w:right="1080" w:bottom="1440" w:left="1080" w:header="708" w:footer="708" w:gutter="0"/>
          <w:cols w:num="2" w:space="624"/>
          <w:docGrid w:linePitch="360"/>
        </w:sectPr>
      </w:pPr>
    </w:p>
    <w:p w:rsidR="00EB5EF0" w:rsidRPr="0074000F" w:rsidRDefault="00C27297" w:rsidP="00BC556C">
      <w:pPr>
        <w:pStyle w:val="NoSpacing"/>
        <w:jc w:val="both"/>
        <w:rPr>
          <w:rFonts w:asciiTheme="minorHAnsi" w:hAnsiTheme="minorHAnsi" w:cstheme="minorHAnsi"/>
        </w:rPr>
      </w:pPr>
      <w:r>
        <w:rPr>
          <w:rFonts w:asciiTheme="minorHAnsi" w:hAnsiTheme="minorHAnsi" w:cstheme="minorHAnsi"/>
          <w:b/>
        </w:rPr>
        <w:lastRenderedPageBreak/>
        <w:t xml:space="preserve">- </w:t>
      </w:r>
      <w:r w:rsidR="00EB5EF0" w:rsidRPr="0074000F">
        <w:rPr>
          <w:rFonts w:asciiTheme="minorHAnsi" w:hAnsiTheme="minorHAnsi" w:cstheme="minorHAnsi"/>
          <w:b/>
        </w:rPr>
        <w:t>The nature and scale of carbon sequestration and storage capacity loss</w:t>
      </w:r>
      <w:r w:rsidR="00EB5EF0" w:rsidRPr="0074000F">
        <w:rPr>
          <w:rFonts w:asciiTheme="minorHAnsi" w:hAnsiTheme="minorHAnsi" w:cstheme="minorHAnsi"/>
        </w:rPr>
        <w:t>:  it is not just a question of the time taken for trees to regrow.  Much carbon is lost from roots of big old trees and the soil ecosys</w:t>
      </w:r>
      <w:r w:rsidR="00EE3544">
        <w:rPr>
          <w:rFonts w:asciiTheme="minorHAnsi" w:hAnsiTheme="minorHAnsi" w:cstheme="minorHAnsi"/>
        </w:rPr>
        <w:t>tems disturbed during logging.</w:t>
      </w:r>
      <w:r w:rsidR="00EE3544">
        <w:rPr>
          <w:rStyle w:val="EndnoteReference"/>
          <w:rFonts w:asciiTheme="minorHAnsi" w:hAnsiTheme="minorHAnsi" w:cstheme="minorHAnsi"/>
        </w:rPr>
        <w:endnoteReference w:id="38"/>
      </w:r>
    </w:p>
    <w:p w:rsidR="00EB5EF0" w:rsidRPr="0074000F" w:rsidRDefault="00EB5EF0" w:rsidP="00BC556C">
      <w:pPr>
        <w:pStyle w:val="NoSpacing"/>
        <w:jc w:val="both"/>
        <w:rPr>
          <w:rFonts w:asciiTheme="minorHAnsi" w:hAnsiTheme="minorHAnsi" w:cstheme="minorHAnsi"/>
        </w:rPr>
      </w:pPr>
    </w:p>
    <w:p w:rsidR="00EB5EF0" w:rsidRPr="008247C4" w:rsidRDefault="00C27297" w:rsidP="00BC556C">
      <w:pPr>
        <w:pStyle w:val="NoSpacing"/>
        <w:jc w:val="both"/>
        <w:rPr>
          <w:rFonts w:asciiTheme="minorHAnsi" w:hAnsiTheme="minorHAnsi" w:cstheme="minorHAnsi"/>
          <w:b/>
        </w:rPr>
      </w:pPr>
      <w:r>
        <w:rPr>
          <w:rFonts w:asciiTheme="minorHAnsi" w:hAnsiTheme="minorHAnsi" w:cstheme="minorHAnsi"/>
          <w:b/>
        </w:rPr>
        <w:t xml:space="preserve">2. </w:t>
      </w:r>
      <w:proofErr w:type="gramStart"/>
      <w:r w:rsidR="00EB5EF0" w:rsidRPr="008247C4">
        <w:rPr>
          <w:rFonts w:asciiTheme="minorHAnsi" w:hAnsiTheme="minorHAnsi" w:cstheme="minorHAnsi"/>
          <w:b/>
        </w:rPr>
        <w:t>Is</w:t>
      </w:r>
      <w:proofErr w:type="gramEnd"/>
      <w:r w:rsidR="00A01604">
        <w:rPr>
          <w:rFonts w:asciiTheme="minorHAnsi" w:hAnsiTheme="minorHAnsi" w:cstheme="minorHAnsi"/>
          <w:b/>
        </w:rPr>
        <w:t xml:space="preserve"> subject to flawed</w:t>
      </w:r>
      <w:r w:rsidR="00EB5EF0" w:rsidRPr="008247C4">
        <w:rPr>
          <w:rFonts w:asciiTheme="minorHAnsi" w:hAnsiTheme="minorHAnsi" w:cstheme="minorHAnsi"/>
          <w:b/>
        </w:rPr>
        <w:t xml:space="preserve"> ‘residue’ arguments:</w:t>
      </w:r>
    </w:p>
    <w:p w:rsidR="00EB5EF0" w:rsidRPr="0074000F" w:rsidRDefault="00EB5EF0" w:rsidP="00BC556C">
      <w:pPr>
        <w:pStyle w:val="NoSpacing"/>
        <w:jc w:val="both"/>
        <w:rPr>
          <w:rFonts w:asciiTheme="minorHAnsi" w:hAnsiTheme="minorHAnsi" w:cstheme="minorHAnsi"/>
        </w:rPr>
      </w:pPr>
      <w:r w:rsidRPr="0074000F">
        <w:rPr>
          <w:rFonts w:asciiTheme="minorHAnsi" w:hAnsiTheme="minorHAnsi" w:cstheme="minorHAnsi"/>
        </w:rPr>
        <w:t>The definition of forest biomass as a carbon neutral energy and fuel feedstock extends beyond logging and mill residue to entire trees.  Referred to as ‘pulp’ logs, native forest tree species that have not been allowed to grow to maturity are re-defined by (Austra</w:t>
      </w:r>
      <w:r w:rsidR="00C27297">
        <w:rPr>
          <w:rFonts w:asciiTheme="minorHAnsi" w:hAnsiTheme="minorHAnsi" w:cstheme="minorHAnsi"/>
        </w:rPr>
        <w:t xml:space="preserve">lian) state forest agencies as </w:t>
      </w:r>
      <w:r w:rsidRPr="0074000F">
        <w:rPr>
          <w:rFonts w:asciiTheme="minorHAnsi" w:hAnsiTheme="minorHAnsi" w:cstheme="minorHAnsi"/>
        </w:rPr>
        <w:t>residues</w:t>
      </w:r>
      <w:r w:rsidR="00C27297">
        <w:rPr>
          <w:rFonts w:asciiTheme="minorHAnsi" w:hAnsiTheme="minorHAnsi" w:cstheme="minorHAnsi"/>
        </w:rPr>
        <w:t xml:space="preserve">, to attract subsidisation as </w:t>
      </w:r>
      <w:r w:rsidRPr="0074000F">
        <w:rPr>
          <w:rFonts w:asciiTheme="minorHAnsi" w:hAnsiTheme="minorHAnsi" w:cstheme="minorHAnsi"/>
        </w:rPr>
        <w:t>renewa</w:t>
      </w:r>
      <w:r w:rsidR="00C27297">
        <w:rPr>
          <w:rFonts w:asciiTheme="minorHAnsi" w:hAnsiTheme="minorHAnsi" w:cstheme="minorHAnsi"/>
        </w:rPr>
        <w:t>ble</w:t>
      </w:r>
      <w:r w:rsidR="00EE3544">
        <w:rPr>
          <w:rFonts w:asciiTheme="minorHAnsi" w:hAnsiTheme="minorHAnsi" w:cstheme="minorHAnsi"/>
        </w:rPr>
        <w:t xml:space="preserve"> energy biomass feedstock.</w:t>
      </w:r>
      <w:r w:rsidR="00EE3544">
        <w:rPr>
          <w:rStyle w:val="EndnoteReference"/>
          <w:rFonts w:asciiTheme="minorHAnsi" w:hAnsiTheme="minorHAnsi" w:cstheme="minorHAnsi"/>
        </w:rPr>
        <w:endnoteReference w:id="39"/>
      </w:r>
    </w:p>
    <w:p w:rsidR="00EB5EF0" w:rsidRPr="0074000F" w:rsidRDefault="00EB5EF0" w:rsidP="00BC556C">
      <w:pPr>
        <w:pStyle w:val="NoSpacing"/>
        <w:jc w:val="both"/>
        <w:rPr>
          <w:rFonts w:asciiTheme="minorHAnsi" w:hAnsiTheme="minorHAnsi" w:cstheme="minorHAnsi"/>
        </w:rPr>
      </w:pPr>
    </w:p>
    <w:p w:rsidR="00EB5EF0" w:rsidRDefault="0004244B" w:rsidP="00BC556C">
      <w:pPr>
        <w:pStyle w:val="NoSpacing"/>
        <w:jc w:val="both"/>
        <w:rPr>
          <w:rFonts w:asciiTheme="minorHAnsi" w:hAnsiTheme="minorHAnsi" w:cstheme="minorHAnsi"/>
        </w:rPr>
      </w:pPr>
      <w:r w:rsidRPr="0074000F">
        <w:rPr>
          <w:rFonts w:asciiTheme="minorHAnsi" w:hAnsiTheme="minorHAnsi" w:cstheme="minorHAnsi"/>
        </w:rPr>
        <w:t xml:space="preserve">A presumed regulatory safeguard to ensure forest wood biomass destined for combustion doesn’t add to the carbon </w:t>
      </w:r>
      <w:proofErr w:type="gramStart"/>
      <w:r w:rsidRPr="0074000F">
        <w:rPr>
          <w:rFonts w:asciiTheme="minorHAnsi" w:hAnsiTheme="minorHAnsi" w:cstheme="minorHAnsi"/>
        </w:rPr>
        <w:t>debt,</w:t>
      </w:r>
      <w:proofErr w:type="gramEnd"/>
      <w:r w:rsidRPr="0074000F">
        <w:rPr>
          <w:rFonts w:asciiTheme="minorHAnsi" w:hAnsiTheme="minorHAnsi" w:cstheme="minorHAnsi"/>
        </w:rPr>
        <w:t xml:space="preserve"> is the requirement that </w:t>
      </w:r>
      <w:r w:rsidR="00C27297">
        <w:rPr>
          <w:rFonts w:asciiTheme="minorHAnsi" w:hAnsiTheme="minorHAnsi" w:cstheme="minorHAnsi"/>
        </w:rPr>
        <w:t>the biomass be sourced from forests ‘</w:t>
      </w:r>
      <w:r w:rsidRPr="0074000F">
        <w:rPr>
          <w:rFonts w:asciiTheme="minorHAnsi" w:hAnsiTheme="minorHAnsi" w:cstheme="minorHAnsi"/>
        </w:rPr>
        <w:t>sustainably’ logged.  Inadequate as a definition, this descriptor omits to reference principles of ecologically sustainable forest management (ESFM).  ESFM is supposed to underpin Australian nat</w:t>
      </w:r>
      <w:r w:rsidR="00EE3544">
        <w:rPr>
          <w:rFonts w:asciiTheme="minorHAnsi" w:hAnsiTheme="minorHAnsi" w:cstheme="minorHAnsi"/>
        </w:rPr>
        <w:t>ive forest logging as of 1995.</w:t>
      </w:r>
      <w:r w:rsidR="00EE3544">
        <w:rPr>
          <w:rStyle w:val="EndnoteReference"/>
          <w:rFonts w:asciiTheme="minorHAnsi" w:hAnsiTheme="minorHAnsi" w:cstheme="minorHAnsi"/>
        </w:rPr>
        <w:endnoteReference w:id="40"/>
      </w:r>
      <w:r w:rsidRPr="0074000F">
        <w:rPr>
          <w:rFonts w:asciiTheme="minorHAnsi" w:hAnsiTheme="minorHAnsi" w:cstheme="minorHAnsi"/>
        </w:rPr>
        <w:t xml:space="preserve">  The principles </w:t>
      </w:r>
      <w:r w:rsidR="0074000F" w:rsidRPr="0074000F">
        <w:rPr>
          <w:rFonts w:asciiTheme="minorHAnsi" w:hAnsiTheme="minorHAnsi" w:cstheme="minorHAnsi"/>
        </w:rPr>
        <w:t>of</w:t>
      </w:r>
      <w:r w:rsidRPr="0074000F">
        <w:rPr>
          <w:rFonts w:asciiTheme="minorHAnsi" w:hAnsiTheme="minorHAnsi" w:cstheme="minorHAnsi"/>
        </w:rPr>
        <w:t xml:space="preserve"> ESFM are not adequately addressed by any ag</w:t>
      </w:r>
      <w:r w:rsidR="00AA21BB" w:rsidRPr="0074000F">
        <w:rPr>
          <w:rFonts w:asciiTheme="minorHAnsi" w:hAnsiTheme="minorHAnsi" w:cstheme="minorHAnsi"/>
        </w:rPr>
        <w:t>reed international logging cert</w:t>
      </w:r>
      <w:r w:rsidRPr="0074000F">
        <w:rPr>
          <w:rFonts w:asciiTheme="minorHAnsi" w:hAnsiTheme="minorHAnsi" w:cstheme="minorHAnsi"/>
        </w:rPr>
        <w:t xml:space="preserve">ification standard.  </w:t>
      </w:r>
      <w:r w:rsidR="00C27297">
        <w:rPr>
          <w:rFonts w:asciiTheme="minorHAnsi" w:hAnsiTheme="minorHAnsi" w:cstheme="minorHAnsi"/>
        </w:rPr>
        <w:t xml:space="preserve">As </w:t>
      </w:r>
      <w:r w:rsidRPr="0074000F">
        <w:rPr>
          <w:rFonts w:asciiTheme="minorHAnsi" w:hAnsiTheme="minorHAnsi" w:cstheme="minorHAnsi"/>
        </w:rPr>
        <w:t xml:space="preserve">industrial native forest logging </w:t>
      </w:r>
      <w:r w:rsidR="00EE3544">
        <w:rPr>
          <w:rFonts w:asciiTheme="minorHAnsi" w:hAnsiTheme="minorHAnsi" w:cstheme="minorHAnsi"/>
        </w:rPr>
        <w:t>undermine</w:t>
      </w:r>
      <w:r w:rsidR="00C27297">
        <w:rPr>
          <w:rFonts w:asciiTheme="minorHAnsi" w:hAnsiTheme="minorHAnsi" w:cstheme="minorHAnsi"/>
        </w:rPr>
        <w:t>s</w:t>
      </w:r>
      <w:r w:rsidR="00EE3544">
        <w:rPr>
          <w:rFonts w:asciiTheme="minorHAnsi" w:hAnsiTheme="minorHAnsi" w:cstheme="minorHAnsi"/>
        </w:rPr>
        <w:t xml:space="preserve"> biodiversity and CDR</w:t>
      </w:r>
      <w:r w:rsidR="00C27297">
        <w:rPr>
          <w:rFonts w:asciiTheme="minorHAnsi" w:hAnsiTheme="minorHAnsi" w:cstheme="minorHAnsi"/>
        </w:rPr>
        <w:t xml:space="preserve"> </w:t>
      </w:r>
      <w:r w:rsidR="00EE3544">
        <w:rPr>
          <w:rStyle w:val="EndnoteReference"/>
          <w:rFonts w:asciiTheme="minorHAnsi" w:hAnsiTheme="minorHAnsi" w:cstheme="minorHAnsi"/>
        </w:rPr>
        <w:endnoteReference w:id="41"/>
      </w:r>
      <w:r w:rsidR="00C27297">
        <w:rPr>
          <w:rFonts w:asciiTheme="minorHAnsi" w:hAnsiTheme="minorHAnsi" w:cstheme="minorHAnsi"/>
        </w:rPr>
        <w:t xml:space="preserve"> capacity</w:t>
      </w:r>
      <w:r w:rsidRPr="0074000F">
        <w:rPr>
          <w:rFonts w:asciiTheme="minorHAnsi" w:hAnsiTheme="minorHAnsi" w:cstheme="minorHAnsi"/>
        </w:rPr>
        <w:t xml:space="preserve">, such a </w:t>
      </w:r>
      <w:r w:rsidRPr="0074000F">
        <w:rPr>
          <w:rFonts w:asciiTheme="minorHAnsi" w:hAnsiTheme="minorHAnsi" w:cstheme="minorHAnsi"/>
        </w:rPr>
        <w:lastRenderedPageBreak/>
        <w:t>standard is not possible.  Efforts toward certification of logging conducted in accordance with ESFM principles should be confined to the establishment of biodiverse woodlots and/or plantations.</w:t>
      </w:r>
    </w:p>
    <w:p w:rsidR="000254D6" w:rsidRDefault="000254D6" w:rsidP="00BC556C">
      <w:pPr>
        <w:pStyle w:val="NoSpacing"/>
        <w:jc w:val="both"/>
        <w:rPr>
          <w:rFonts w:asciiTheme="minorHAnsi" w:hAnsiTheme="minorHAnsi" w:cstheme="minorHAnsi"/>
        </w:rPr>
      </w:pPr>
    </w:p>
    <w:p w:rsidR="00660F44" w:rsidRDefault="00660F44" w:rsidP="00BC556C">
      <w:pPr>
        <w:pStyle w:val="NoSpacing"/>
        <w:jc w:val="both"/>
        <w:rPr>
          <w:rFonts w:asciiTheme="minorHAnsi" w:hAnsiTheme="minorHAnsi" w:cstheme="minorHAnsi"/>
          <w:szCs w:val="24"/>
        </w:rPr>
      </w:pPr>
    </w:p>
    <w:p w:rsidR="000254D6" w:rsidRPr="00632107" w:rsidRDefault="000254D6" w:rsidP="00BC556C">
      <w:pPr>
        <w:pStyle w:val="NoSpacing"/>
        <w:jc w:val="both"/>
        <w:rPr>
          <w:rFonts w:asciiTheme="minorHAnsi" w:hAnsiTheme="minorHAnsi" w:cstheme="minorHAnsi"/>
          <w:szCs w:val="24"/>
        </w:rPr>
      </w:pPr>
      <w:r w:rsidRPr="00632107">
        <w:rPr>
          <w:rFonts w:asciiTheme="minorHAnsi" w:hAnsiTheme="minorHAnsi" w:cstheme="minorHAnsi"/>
          <w:szCs w:val="24"/>
        </w:rPr>
        <w:t>When the mor</w:t>
      </w:r>
      <w:r w:rsidR="00C27297">
        <w:rPr>
          <w:rFonts w:asciiTheme="minorHAnsi" w:hAnsiTheme="minorHAnsi" w:cstheme="minorHAnsi"/>
          <w:szCs w:val="24"/>
        </w:rPr>
        <w:t>e stringent restriction is considered</w:t>
      </w:r>
      <w:r w:rsidRPr="00632107">
        <w:rPr>
          <w:rFonts w:asciiTheme="minorHAnsi" w:hAnsiTheme="minorHAnsi" w:cstheme="minorHAnsi"/>
          <w:szCs w:val="24"/>
        </w:rPr>
        <w:t xml:space="preserve">, that logging or mill residue, only, provide feedstock for bioenergy, the argument is made that if such residues were not </w:t>
      </w:r>
      <w:proofErr w:type="gramStart"/>
      <w:r w:rsidRPr="00632107">
        <w:rPr>
          <w:rFonts w:asciiTheme="minorHAnsi" w:hAnsiTheme="minorHAnsi" w:cstheme="minorHAnsi"/>
          <w:szCs w:val="24"/>
        </w:rPr>
        <w:t>burnt,</w:t>
      </w:r>
      <w:proofErr w:type="gramEnd"/>
      <w:r w:rsidRPr="00632107">
        <w:rPr>
          <w:rFonts w:asciiTheme="minorHAnsi" w:hAnsiTheme="minorHAnsi" w:cstheme="minorHAnsi"/>
          <w:szCs w:val="24"/>
        </w:rPr>
        <w:t xml:space="preserve"> they would otherwise decompose adding to the global CO2 burden.  Rates of decay, biological processes that convert forest floor humus to soil, and the environmental benefits of natural carbon recycling within the forest ecosystems are ignored.</w:t>
      </w:r>
      <w:r w:rsidRPr="00632107">
        <w:rPr>
          <w:rStyle w:val="EndnoteReference"/>
          <w:rFonts w:asciiTheme="minorHAnsi" w:hAnsiTheme="minorHAnsi" w:cstheme="minorHAnsi"/>
          <w:szCs w:val="24"/>
        </w:rPr>
        <w:endnoteReference w:id="42"/>
      </w:r>
      <w:r w:rsidR="00C27297">
        <w:rPr>
          <w:rFonts w:asciiTheme="minorHAnsi" w:hAnsiTheme="minorHAnsi" w:cstheme="minorHAnsi"/>
          <w:szCs w:val="24"/>
        </w:rPr>
        <w:t xml:space="preserve">  The residue argument </w:t>
      </w:r>
      <w:r w:rsidRPr="00632107">
        <w:rPr>
          <w:rFonts w:asciiTheme="minorHAnsi" w:hAnsiTheme="minorHAnsi" w:cstheme="minorHAnsi"/>
          <w:szCs w:val="24"/>
        </w:rPr>
        <w:t>assumes native forest logging is inevitable, whereas the opposite should be the case at this point in earth’s bio-geophysical history.</w:t>
      </w:r>
    </w:p>
    <w:p w:rsidR="000254D6" w:rsidRPr="00632107" w:rsidRDefault="000254D6" w:rsidP="00BC556C">
      <w:pPr>
        <w:pStyle w:val="NoSpacing"/>
        <w:jc w:val="both"/>
        <w:rPr>
          <w:rFonts w:asciiTheme="minorHAnsi" w:hAnsiTheme="minorHAnsi" w:cstheme="minorHAnsi"/>
          <w:szCs w:val="24"/>
        </w:rPr>
      </w:pPr>
    </w:p>
    <w:p w:rsidR="000254D6" w:rsidRPr="00632107" w:rsidRDefault="00977134" w:rsidP="00BC556C">
      <w:pPr>
        <w:pStyle w:val="NoSpacing"/>
        <w:jc w:val="both"/>
        <w:rPr>
          <w:rFonts w:asciiTheme="minorHAnsi" w:hAnsiTheme="minorHAnsi" w:cstheme="minorHAnsi"/>
          <w:b/>
          <w:szCs w:val="24"/>
        </w:rPr>
      </w:pPr>
      <w:r>
        <w:rPr>
          <w:rFonts w:asciiTheme="minorHAnsi" w:hAnsiTheme="minorHAnsi" w:cstheme="minorHAnsi"/>
          <w:b/>
          <w:szCs w:val="24"/>
        </w:rPr>
        <w:t xml:space="preserve">3. </w:t>
      </w:r>
      <w:proofErr w:type="gramStart"/>
      <w:r w:rsidR="00EC57EE">
        <w:rPr>
          <w:rFonts w:asciiTheme="minorHAnsi" w:hAnsiTheme="minorHAnsi" w:cstheme="minorHAnsi"/>
          <w:b/>
          <w:szCs w:val="24"/>
        </w:rPr>
        <w:t>Ignores</w:t>
      </w:r>
      <w:proofErr w:type="gramEnd"/>
      <w:r w:rsidR="00EC57EE">
        <w:rPr>
          <w:rFonts w:asciiTheme="minorHAnsi" w:hAnsiTheme="minorHAnsi" w:cstheme="minorHAnsi"/>
          <w:b/>
          <w:szCs w:val="24"/>
        </w:rPr>
        <w:t xml:space="preserve"> t</w:t>
      </w:r>
      <w:r w:rsidR="000254D6" w:rsidRPr="00814BD4">
        <w:rPr>
          <w:rFonts w:asciiTheme="minorHAnsi" w:hAnsiTheme="minorHAnsi" w:cstheme="minorHAnsi"/>
          <w:b/>
          <w:szCs w:val="24"/>
        </w:rPr>
        <w:t>he</w:t>
      </w:r>
      <w:r w:rsidR="000254D6" w:rsidRPr="00632107">
        <w:rPr>
          <w:rFonts w:asciiTheme="minorHAnsi" w:hAnsiTheme="minorHAnsi" w:cstheme="minorHAnsi"/>
          <w:b/>
          <w:szCs w:val="24"/>
        </w:rPr>
        <w:t xml:space="preserve"> ‘opportunity cost’ of burning; using forests for energy/fuel</w:t>
      </w:r>
    </w:p>
    <w:p w:rsidR="000254D6" w:rsidRPr="00632107" w:rsidRDefault="000254D6" w:rsidP="00BC556C">
      <w:pPr>
        <w:pStyle w:val="NoSpacing"/>
        <w:jc w:val="both"/>
        <w:rPr>
          <w:rFonts w:asciiTheme="minorHAnsi" w:hAnsiTheme="minorHAnsi" w:cstheme="minorHAnsi"/>
          <w:szCs w:val="24"/>
        </w:rPr>
      </w:pPr>
      <w:r w:rsidRPr="00632107">
        <w:rPr>
          <w:rFonts w:asciiTheme="minorHAnsi" w:hAnsiTheme="minorHAnsi" w:cstheme="minorHAnsi"/>
          <w:szCs w:val="24"/>
        </w:rPr>
        <w:t>The carbon stock for intact South Eastern Australian eucalypt forests has been found to be about 640 tonnes per hectare.</w:t>
      </w:r>
      <w:r w:rsidRPr="00632107">
        <w:rPr>
          <w:rStyle w:val="EndnoteReference"/>
          <w:rFonts w:asciiTheme="minorHAnsi" w:hAnsiTheme="minorHAnsi" w:cstheme="minorHAnsi"/>
          <w:szCs w:val="24"/>
        </w:rPr>
        <w:endnoteReference w:id="43"/>
      </w:r>
      <w:r w:rsidRPr="00632107">
        <w:rPr>
          <w:rFonts w:asciiTheme="minorHAnsi" w:hAnsiTheme="minorHAnsi" w:cstheme="minorHAnsi"/>
          <w:szCs w:val="24"/>
        </w:rPr>
        <w:t xml:space="preserve">  In some of those forests the carbon stock is</w:t>
      </w:r>
      <w:r w:rsidR="00C27297">
        <w:rPr>
          <w:rFonts w:asciiTheme="minorHAnsi" w:hAnsiTheme="minorHAnsi" w:cstheme="minorHAnsi"/>
          <w:szCs w:val="24"/>
        </w:rPr>
        <w:t xml:space="preserve"> very</w:t>
      </w:r>
      <w:r w:rsidRPr="00632107">
        <w:rPr>
          <w:rFonts w:asciiTheme="minorHAnsi" w:hAnsiTheme="minorHAnsi" w:cstheme="minorHAnsi"/>
          <w:szCs w:val="24"/>
        </w:rPr>
        <w:t xml:space="preserve"> high with a total biomass density of 1,867 tonnes of carbon per hectare,</w:t>
      </w:r>
      <w:r w:rsidRPr="00632107">
        <w:rPr>
          <w:rStyle w:val="EndnoteReference"/>
          <w:rFonts w:asciiTheme="minorHAnsi" w:hAnsiTheme="minorHAnsi" w:cstheme="minorHAnsi"/>
          <w:szCs w:val="24"/>
        </w:rPr>
        <w:endnoteReference w:id="44"/>
      </w:r>
      <w:r w:rsidRPr="00632107">
        <w:rPr>
          <w:rFonts w:asciiTheme="minorHAnsi" w:hAnsiTheme="minorHAnsi" w:cstheme="minorHAnsi"/>
          <w:szCs w:val="24"/>
        </w:rPr>
        <w:t xml:space="preserve"> exceeding that of equatorial rainforests.</w:t>
      </w:r>
    </w:p>
    <w:p w:rsidR="000254D6" w:rsidRPr="00632107" w:rsidRDefault="000254D6" w:rsidP="00BC556C">
      <w:pPr>
        <w:pStyle w:val="NoSpacing"/>
        <w:jc w:val="both"/>
        <w:rPr>
          <w:rFonts w:asciiTheme="minorHAnsi" w:hAnsiTheme="minorHAnsi" w:cstheme="minorHAnsi"/>
          <w:szCs w:val="24"/>
        </w:rPr>
      </w:pPr>
    </w:p>
    <w:p w:rsidR="00814BD4" w:rsidRDefault="00814BD4" w:rsidP="00BC556C">
      <w:pPr>
        <w:pStyle w:val="NoSpacing"/>
        <w:jc w:val="both"/>
        <w:rPr>
          <w:rFonts w:asciiTheme="minorHAnsi" w:hAnsiTheme="minorHAnsi" w:cstheme="minorHAnsi"/>
          <w:b/>
          <w:szCs w:val="24"/>
        </w:rPr>
        <w:sectPr w:rsidR="00814BD4" w:rsidSect="00BC556C">
          <w:endnotePr>
            <w:numFmt w:val="decimal"/>
          </w:endnotePr>
          <w:type w:val="continuous"/>
          <w:pgSz w:w="11906" w:h="16838"/>
          <w:pgMar w:top="1440" w:right="1080" w:bottom="1440" w:left="1080" w:header="708" w:footer="708" w:gutter="0"/>
          <w:cols w:num="2" w:space="624"/>
          <w:docGrid w:linePitch="360"/>
        </w:sectPr>
      </w:pPr>
    </w:p>
    <w:p w:rsidR="00814BD4" w:rsidRDefault="00814BD4" w:rsidP="000254D6">
      <w:pPr>
        <w:pStyle w:val="NoSpacing"/>
        <w:rPr>
          <w:rFonts w:asciiTheme="minorHAnsi" w:hAnsiTheme="minorHAnsi" w:cstheme="minorHAnsi"/>
          <w:b/>
          <w:szCs w:val="24"/>
        </w:rPr>
      </w:pPr>
    </w:p>
    <w:p w:rsidR="000254D6" w:rsidRPr="00C27297" w:rsidRDefault="000254D6" w:rsidP="000254D6">
      <w:pPr>
        <w:pStyle w:val="NoSpacing"/>
        <w:rPr>
          <w:rFonts w:asciiTheme="minorHAnsi" w:hAnsiTheme="minorHAnsi" w:cstheme="minorHAnsi"/>
          <w:b/>
          <w:i/>
          <w:sz w:val="28"/>
          <w:szCs w:val="28"/>
        </w:rPr>
      </w:pPr>
      <w:r w:rsidRPr="00C27297">
        <w:rPr>
          <w:rFonts w:asciiTheme="minorHAnsi" w:hAnsiTheme="minorHAnsi" w:cstheme="minorHAnsi"/>
          <w:b/>
          <w:i/>
          <w:sz w:val="28"/>
          <w:szCs w:val="28"/>
        </w:rPr>
        <w:t>It is negligence of the highest order to continue to allow emission intensive industrial logging of native forests to further deplete these critical carbon stores.</w:t>
      </w:r>
    </w:p>
    <w:p w:rsidR="00814BD4" w:rsidRDefault="00814BD4" w:rsidP="000254D6">
      <w:pPr>
        <w:pStyle w:val="NoSpacing"/>
        <w:rPr>
          <w:rFonts w:asciiTheme="minorHAnsi" w:hAnsiTheme="minorHAnsi" w:cstheme="minorHAnsi"/>
          <w:szCs w:val="24"/>
        </w:rPr>
      </w:pPr>
    </w:p>
    <w:p w:rsidR="00A01604" w:rsidRDefault="00A01604" w:rsidP="000254D6">
      <w:pPr>
        <w:pStyle w:val="NoSpacing"/>
        <w:rPr>
          <w:rFonts w:asciiTheme="minorHAnsi" w:hAnsiTheme="minorHAnsi" w:cstheme="minorHAnsi"/>
          <w:szCs w:val="24"/>
        </w:rPr>
        <w:sectPr w:rsidR="00A01604" w:rsidSect="00814BD4">
          <w:endnotePr>
            <w:numFmt w:val="decimal"/>
          </w:endnotePr>
          <w:type w:val="continuous"/>
          <w:pgSz w:w="11906" w:h="16838"/>
          <w:pgMar w:top="1440" w:right="1080" w:bottom="1440" w:left="1080" w:header="708" w:footer="708" w:gutter="0"/>
          <w:cols w:space="708"/>
          <w:docGrid w:linePitch="360"/>
        </w:sectPr>
      </w:pPr>
    </w:p>
    <w:p w:rsidR="000254D6" w:rsidRPr="00632107" w:rsidRDefault="000254D6" w:rsidP="00BC556C">
      <w:pPr>
        <w:pStyle w:val="NoSpacing"/>
        <w:jc w:val="both"/>
        <w:rPr>
          <w:rFonts w:asciiTheme="minorHAnsi" w:hAnsiTheme="minorHAnsi" w:cstheme="minorHAnsi"/>
          <w:szCs w:val="24"/>
        </w:rPr>
      </w:pPr>
      <w:r w:rsidRPr="00632107">
        <w:rPr>
          <w:rFonts w:asciiTheme="minorHAnsi" w:hAnsiTheme="minorHAnsi" w:cstheme="minorHAnsi"/>
          <w:szCs w:val="24"/>
        </w:rPr>
        <w:lastRenderedPageBreak/>
        <w:t xml:space="preserve">Heavy machinery </w:t>
      </w:r>
      <w:r w:rsidR="00977134">
        <w:rPr>
          <w:rFonts w:asciiTheme="minorHAnsi" w:hAnsiTheme="minorHAnsi" w:cstheme="minorHAnsi"/>
          <w:szCs w:val="24"/>
        </w:rPr>
        <w:t xml:space="preserve">logs and then </w:t>
      </w:r>
      <w:r w:rsidRPr="00632107">
        <w:rPr>
          <w:rFonts w:asciiTheme="minorHAnsi" w:hAnsiTheme="minorHAnsi" w:cstheme="minorHAnsi"/>
          <w:szCs w:val="24"/>
        </w:rPr>
        <w:t>transport</w:t>
      </w:r>
      <w:r w:rsidR="00977134">
        <w:rPr>
          <w:rFonts w:asciiTheme="minorHAnsi" w:hAnsiTheme="minorHAnsi" w:cstheme="minorHAnsi"/>
          <w:szCs w:val="24"/>
        </w:rPr>
        <w:t>s</w:t>
      </w:r>
      <w:r w:rsidRPr="00632107">
        <w:rPr>
          <w:rFonts w:asciiTheme="minorHAnsi" w:hAnsiTheme="minorHAnsi" w:cstheme="minorHAnsi"/>
          <w:szCs w:val="24"/>
        </w:rPr>
        <w:t xml:space="preserve"> dense </w:t>
      </w:r>
      <w:r w:rsidR="00977134">
        <w:rPr>
          <w:rFonts w:asciiTheme="minorHAnsi" w:hAnsiTheme="minorHAnsi" w:cstheme="minorHAnsi"/>
          <w:szCs w:val="24"/>
        </w:rPr>
        <w:t xml:space="preserve">forest biomass </w:t>
      </w:r>
      <w:r w:rsidRPr="00632107">
        <w:rPr>
          <w:rFonts w:asciiTheme="minorHAnsi" w:hAnsiTheme="minorHAnsi" w:cstheme="minorHAnsi"/>
          <w:szCs w:val="24"/>
        </w:rPr>
        <w:t>long distances</w:t>
      </w:r>
      <w:r w:rsidR="00977134">
        <w:rPr>
          <w:rFonts w:asciiTheme="minorHAnsi" w:hAnsiTheme="minorHAnsi" w:cstheme="minorHAnsi"/>
          <w:szCs w:val="24"/>
        </w:rPr>
        <w:t>.  The logging depletes</w:t>
      </w:r>
      <w:r w:rsidRPr="00632107">
        <w:rPr>
          <w:rFonts w:asciiTheme="minorHAnsi" w:hAnsiTheme="minorHAnsi" w:cstheme="minorHAnsi"/>
          <w:szCs w:val="24"/>
        </w:rPr>
        <w:t xml:space="preserve"> native forest carbon store</w:t>
      </w:r>
      <w:r w:rsidR="00977134">
        <w:rPr>
          <w:rFonts w:asciiTheme="minorHAnsi" w:hAnsiTheme="minorHAnsi" w:cstheme="minorHAnsi"/>
          <w:szCs w:val="24"/>
        </w:rPr>
        <w:t xml:space="preserve">d in trees and soil </w:t>
      </w:r>
      <w:r w:rsidR="00B5792F">
        <w:rPr>
          <w:rFonts w:asciiTheme="minorHAnsi" w:hAnsiTheme="minorHAnsi" w:cstheme="minorHAnsi"/>
          <w:szCs w:val="24"/>
        </w:rPr>
        <w:t>by up to 70%</w:t>
      </w:r>
      <w:r w:rsidR="00977134">
        <w:rPr>
          <w:rFonts w:asciiTheme="minorHAnsi" w:hAnsiTheme="minorHAnsi" w:cstheme="minorHAnsi"/>
          <w:szCs w:val="24"/>
        </w:rPr>
        <w:t>, not</w:t>
      </w:r>
      <w:r w:rsidRPr="00632107">
        <w:rPr>
          <w:rFonts w:asciiTheme="minorHAnsi" w:hAnsiTheme="minorHAnsi" w:cstheme="minorHAnsi"/>
          <w:szCs w:val="24"/>
        </w:rPr>
        <w:t xml:space="preserve"> recaptured within current logging cycles.</w:t>
      </w:r>
      <w:r w:rsidRPr="00632107">
        <w:rPr>
          <w:rStyle w:val="EndnoteReference"/>
          <w:rFonts w:asciiTheme="minorHAnsi" w:hAnsiTheme="minorHAnsi" w:cstheme="minorHAnsi"/>
          <w:szCs w:val="24"/>
        </w:rPr>
        <w:endnoteReference w:id="45"/>
      </w:r>
      <w:r w:rsidRPr="00632107">
        <w:rPr>
          <w:rFonts w:asciiTheme="minorHAnsi" w:hAnsiTheme="minorHAnsi" w:cstheme="minorHAnsi"/>
          <w:szCs w:val="24"/>
        </w:rPr>
        <w:t xml:space="preserve">  Industrial logging rotation cycles degrade forests to the extent </w:t>
      </w:r>
      <w:r w:rsidR="00345390">
        <w:rPr>
          <w:rFonts w:asciiTheme="minorHAnsi" w:hAnsiTheme="minorHAnsi" w:cstheme="minorHAnsi"/>
          <w:szCs w:val="24"/>
        </w:rPr>
        <w:t xml:space="preserve">that </w:t>
      </w:r>
      <w:r w:rsidRPr="00632107">
        <w:rPr>
          <w:rFonts w:asciiTheme="minorHAnsi" w:hAnsiTheme="minorHAnsi" w:cstheme="minorHAnsi"/>
          <w:szCs w:val="24"/>
        </w:rPr>
        <w:t>they can become sources, not sinks, of carbon.</w:t>
      </w:r>
      <w:r w:rsidRPr="00632107">
        <w:rPr>
          <w:rStyle w:val="EndnoteReference"/>
          <w:rFonts w:asciiTheme="minorHAnsi" w:hAnsiTheme="minorHAnsi" w:cstheme="minorHAnsi"/>
          <w:szCs w:val="24"/>
        </w:rPr>
        <w:endnoteReference w:id="46"/>
      </w:r>
      <w:r w:rsidRPr="00632107">
        <w:rPr>
          <w:rFonts w:asciiTheme="minorHAnsi" w:hAnsiTheme="minorHAnsi" w:cstheme="minorHAnsi"/>
          <w:szCs w:val="24"/>
        </w:rPr>
        <w:t xml:space="preserve">  To protect and not log the native forests and woodlands of Australia is the pathway to the greatest climate change mitigation possible from terrestrial systems.</w:t>
      </w:r>
      <w:r w:rsidRPr="00632107">
        <w:rPr>
          <w:rStyle w:val="EndnoteReference"/>
          <w:rFonts w:asciiTheme="minorHAnsi" w:hAnsiTheme="minorHAnsi" w:cstheme="minorHAnsi"/>
          <w:szCs w:val="24"/>
        </w:rPr>
        <w:endnoteReference w:id="47"/>
      </w:r>
      <w:r w:rsidRPr="00632107">
        <w:rPr>
          <w:rFonts w:asciiTheme="minorHAnsi" w:hAnsiTheme="minorHAnsi" w:cstheme="minorHAnsi"/>
          <w:szCs w:val="24"/>
        </w:rPr>
        <w:t xml:space="preserve"> </w:t>
      </w:r>
    </w:p>
    <w:p w:rsidR="000254D6" w:rsidRPr="00814BD4" w:rsidRDefault="00977134" w:rsidP="00BC556C">
      <w:pPr>
        <w:pStyle w:val="NoSpacing"/>
        <w:jc w:val="both"/>
        <w:rPr>
          <w:rFonts w:asciiTheme="minorHAnsi" w:hAnsiTheme="minorHAnsi" w:cstheme="minorHAnsi"/>
          <w:b/>
          <w:szCs w:val="24"/>
        </w:rPr>
      </w:pPr>
      <w:r>
        <w:rPr>
          <w:rFonts w:asciiTheme="minorHAnsi" w:hAnsiTheme="minorHAnsi" w:cstheme="minorHAnsi"/>
          <w:b/>
          <w:szCs w:val="24"/>
        </w:rPr>
        <w:lastRenderedPageBreak/>
        <w:t xml:space="preserve">4. </w:t>
      </w:r>
      <w:r w:rsidR="000254D6" w:rsidRPr="00632107">
        <w:rPr>
          <w:rFonts w:asciiTheme="minorHAnsi" w:hAnsiTheme="minorHAnsi" w:cstheme="minorHAnsi"/>
          <w:b/>
          <w:szCs w:val="24"/>
        </w:rPr>
        <w:t>Is not residue based and is dr</w:t>
      </w:r>
      <w:r w:rsidR="00814BD4">
        <w:rPr>
          <w:rFonts w:asciiTheme="minorHAnsi" w:hAnsiTheme="minorHAnsi" w:cstheme="minorHAnsi"/>
          <w:b/>
          <w:szCs w:val="24"/>
        </w:rPr>
        <w:t>iving global forest degradation</w:t>
      </w:r>
      <w:r w:rsidR="00A01604">
        <w:rPr>
          <w:rFonts w:asciiTheme="minorHAnsi" w:hAnsiTheme="minorHAnsi" w:cstheme="minorHAnsi"/>
          <w:b/>
          <w:szCs w:val="24"/>
        </w:rPr>
        <w:t>.</w:t>
      </w:r>
      <w:r w:rsidR="00814BD4">
        <w:rPr>
          <w:rFonts w:asciiTheme="minorHAnsi" w:hAnsiTheme="minorHAnsi" w:cstheme="minorHAnsi"/>
          <w:b/>
          <w:szCs w:val="24"/>
        </w:rPr>
        <w:t xml:space="preserve"> </w:t>
      </w:r>
      <w:r>
        <w:rPr>
          <w:rFonts w:asciiTheme="minorHAnsi" w:hAnsiTheme="minorHAnsi" w:cstheme="minorHAnsi"/>
          <w:szCs w:val="24"/>
        </w:rPr>
        <w:t xml:space="preserve">By </w:t>
      </w:r>
      <w:r w:rsidR="000254D6" w:rsidRPr="00632107">
        <w:rPr>
          <w:rFonts w:asciiTheme="minorHAnsi" w:hAnsiTheme="minorHAnsi" w:cstheme="minorHAnsi"/>
          <w:szCs w:val="24"/>
        </w:rPr>
        <w:t>2011</w:t>
      </w:r>
      <w:r>
        <w:rPr>
          <w:rFonts w:asciiTheme="minorHAnsi" w:hAnsiTheme="minorHAnsi" w:cstheme="minorHAnsi"/>
          <w:szCs w:val="24"/>
        </w:rPr>
        <w:t xml:space="preserve"> ‘</w:t>
      </w:r>
      <w:r w:rsidR="000254D6" w:rsidRPr="00632107">
        <w:rPr>
          <w:rFonts w:asciiTheme="minorHAnsi" w:hAnsiTheme="minorHAnsi" w:cstheme="minorHAnsi"/>
          <w:szCs w:val="24"/>
        </w:rPr>
        <w:t>The Economist</w:t>
      </w:r>
      <w:r>
        <w:rPr>
          <w:rFonts w:asciiTheme="minorHAnsi" w:hAnsiTheme="minorHAnsi" w:cstheme="minorHAnsi"/>
          <w:szCs w:val="24"/>
        </w:rPr>
        <w:t>’ was reporting</w:t>
      </w:r>
      <w:r w:rsidR="000254D6" w:rsidRPr="00632107">
        <w:rPr>
          <w:rFonts w:asciiTheme="minorHAnsi" w:hAnsiTheme="minorHAnsi" w:cstheme="minorHAnsi"/>
          <w:szCs w:val="24"/>
        </w:rPr>
        <w:t xml:space="preserve"> ‘Environmental Lunacy in Europe: European firms are</w:t>
      </w:r>
      <w:r w:rsidR="00D80506" w:rsidRPr="00632107">
        <w:rPr>
          <w:rFonts w:asciiTheme="minorHAnsi" w:hAnsiTheme="minorHAnsi" w:cstheme="minorHAnsi"/>
          <w:szCs w:val="24"/>
        </w:rPr>
        <w:t xml:space="preserve"> scouring the earth for wood.’</w:t>
      </w:r>
      <w:r w:rsidR="00D80506" w:rsidRPr="00632107">
        <w:rPr>
          <w:rStyle w:val="EndnoteReference"/>
          <w:rFonts w:asciiTheme="minorHAnsi" w:hAnsiTheme="minorHAnsi" w:cstheme="minorHAnsi"/>
          <w:szCs w:val="24"/>
        </w:rPr>
        <w:endnoteReference w:id="48"/>
      </w:r>
      <w:r w:rsidR="000254D6" w:rsidRPr="00632107">
        <w:rPr>
          <w:rFonts w:asciiTheme="minorHAnsi" w:hAnsiTheme="minorHAnsi" w:cstheme="minorHAnsi"/>
          <w:szCs w:val="24"/>
        </w:rPr>
        <w:t xml:space="preserve">  Companies operating under the aegis that ‘fores</w:t>
      </w:r>
      <w:r w:rsidR="009568A9">
        <w:rPr>
          <w:rFonts w:asciiTheme="minorHAnsi" w:hAnsiTheme="minorHAnsi" w:cstheme="minorHAnsi"/>
          <w:szCs w:val="24"/>
        </w:rPr>
        <w:t xml:space="preserve">t bioenergy is carbon neutral’ </w:t>
      </w:r>
      <w:r w:rsidR="000254D6" w:rsidRPr="00632107">
        <w:rPr>
          <w:rFonts w:asciiTheme="minorHAnsi" w:hAnsiTheme="minorHAnsi" w:cstheme="minorHAnsi"/>
          <w:szCs w:val="24"/>
        </w:rPr>
        <w:t>profit from the subsidi</w:t>
      </w:r>
      <w:r w:rsidR="009568A9">
        <w:rPr>
          <w:rFonts w:asciiTheme="minorHAnsi" w:hAnsiTheme="minorHAnsi" w:cstheme="minorHAnsi"/>
          <w:szCs w:val="24"/>
        </w:rPr>
        <w:t>es it attracts as supposed renewable</w:t>
      </w:r>
      <w:r w:rsidR="000254D6" w:rsidRPr="00632107">
        <w:rPr>
          <w:rFonts w:asciiTheme="minorHAnsi" w:hAnsiTheme="minorHAnsi" w:cstheme="minorHAnsi"/>
          <w:szCs w:val="24"/>
        </w:rPr>
        <w:t xml:space="preserve"> en</w:t>
      </w:r>
      <w:r w:rsidR="009568A9">
        <w:rPr>
          <w:rFonts w:asciiTheme="minorHAnsi" w:hAnsiTheme="minorHAnsi" w:cstheme="minorHAnsi"/>
          <w:szCs w:val="24"/>
        </w:rPr>
        <w:t>ergy</w:t>
      </w:r>
      <w:r w:rsidR="000254D6" w:rsidRPr="00632107">
        <w:rPr>
          <w:rFonts w:asciiTheme="minorHAnsi" w:hAnsiTheme="minorHAnsi" w:cstheme="minorHAnsi"/>
          <w:szCs w:val="24"/>
        </w:rPr>
        <w:t xml:space="preserve">.  </w:t>
      </w:r>
      <w:r w:rsidR="007C6409">
        <w:rPr>
          <w:rFonts w:asciiTheme="minorHAnsi" w:hAnsiTheme="minorHAnsi" w:cstheme="minorHAnsi"/>
          <w:szCs w:val="24"/>
        </w:rPr>
        <w:t xml:space="preserve">This being </w:t>
      </w:r>
      <w:r w:rsidR="000254D6" w:rsidRPr="00632107">
        <w:rPr>
          <w:rFonts w:asciiTheme="minorHAnsi" w:hAnsiTheme="minorHAnsi" w:cstheme="minorHAnsi"/>
          <w:szCs w:val="24"/>
        </w:rPr>
        <w:t>the case in multiple jurisdictions, companies can combi</w:t>
      </w:r>
      <w:r w:rsidR="007C6409">
        <w:rPr>
          <w:rFonts w:asciiTheme="minorHAnsi" w:hAnsiTheme="minorHAnsi" w:cstheme="minorHAnsi"/>
          <w:szCs w:val="24"/>
        </w:rPr>
        <w:t xml:space="preserve">ne to exert immense pressure </w:t>
      </w:r>
      <w:r w:rsidR="000254D6" w:rsidRPr="00632107">
        <w:rPr>
          <w:rFonts w:asciiTheme="minorHAnsi" w:hAnsiTheme="minorHAnsi" w:cstheme="minorHAnsi"/>
          <w:szCs w:val="24"/>
        </w:rPr>
        <w:t>to sanction forest bioenergy expansion at</w:t>
      </w:r>
      <w:r w:rsidR="007C6409">
        <w:rPr>
          <w:rFonts w:asciiTheme="minorHAnsi" w:hAnsiTheme="minorHAnsi" w:cstheme="minorHAnsi"/>
          <w:szCs w:val="24"/>
        </w:rPr>
        <w:t xml:space="preserve"> the </w:t>
      </w:r>
      <w:r w:rsidR="007C6409">
        <w:rPr>
          <w:rFonts w:asciiTheme="minorHAnsi" w:hAnsiTheme="minorHAnsi" w:cstheme="minorHAnsi"/>
          <w:szCs w:val="24"/>
        </w:rPr>
        <w:lastRenderedPageBreak/>
        <w:t xml:space="preserve">highest levels.  Hence </w:t>
      </w:r>
      <w:r w:rsidR="000254D6" w:rsidRPr="00632107">
        <w:rPr>
          <w:rFonts w:asciiTheme="minorHAnsi" w:hAnsiTheme="minorHAnsi" w:cstheme="minorHAnsi"/>
          <w:szCs w:val="24"/>
        </w:rPr>
        <w:t>advice from the European Scientific Union of Scientists</w:t>
      </w:r>
      <w:r w:rsidR="009568A9">
        <w:rPr>
          <w:rFonts w:asciiTheme="minorHAnsi" w:hAnsiTheme="minorHAnsi" w:cstheme="minorHAnsi"/>
          <w:szCs w:val="24"/>
        </w:rPr>
        <w:t xml:space="preserve"> </w:t>
      </w:r>
      <w:r w:rsidR="007C6409">
        <w:rPr>
          <w:rFonts w:asciiTheme="minorHAnsi" w:hAnsiTheme="minorHAnsi" w:cstheme="minorHAnsi"/>
          <w:szCs w:val="24"/>
        </w:rPr>
        <w:t xml:space="preserve">can be </w:t>
      </w:r>
      <w:r w:rsidR="009568A9">
        <w:rPr>
          <w:rFonts w:asciiTheme="minorHAnsi" w:hAnsiTheme="minorHAnsi" w:cstheme="minorHAnsi"/>
          <w:szCs w:val="24"/>
        </w:rPr>
        <w:t>ignored</w:t>
      </w:r>
      <w:r w:rsidR="000254D6" w:rsidRPr="00632107">
        <w:rPr>
          <w:rFonts w:asciiTheme="minorHAnsi" w:hAnsiTheme="minorHAnsi" w:cstheme="minorHAnsi"/>
          <w:szCs w:val="24"/>
        </w:rPr>
        <w:t xml:space="preserve">.  IPCC panel member and a series of </w:t>
      </w:r>
      <w:r w:rsidR="007C6409">
        <w:rPr>
          <w:rFonts w:asciiTheme="minorHAnsi" w:hAnsiTheme="minorHAnsi" w:cstheme="minorHAnsi"/>
          <w:szCs w:val="24"/>
        </w:rPr>
        <w:t xml:space="preserve">other </w:t>
      </w:r>
      <w:r w:rsidR="000254D6" w:rsidRPr="00632107">
        <w:rPr>
          <w:rFonts w:asciiTheme="minorHAnsi" w:hAnsiTheme="minorHAnsi" w:cstheme="minorHAnsi"/>
          <w:szCs w:val="24"/>
        </w:rPr>
        <w:t>scientific statements</w:t>
      </w:r>
      <w:r w:rsidR="007C6409">
        <w:rPr>
          <w:rFonts w:asciiTheme="minorHAnsi" w:hAnsiTheme="minorHAnsi" w:cstheme="minorHAnsi"/>
          <w:szCs w:val="24"/>
        </w:rPr>
        <w:t xml:space="preserve"> from </w:t>
      </w:r>
      <w:r w:rsidR="000254D6" w:rsidRPr="00632107">
        <w:rPr>
          <w:rFonts w:asciiTheme="minorHAnsi" w:hAnsiTheme="minorHAnsi" w:cstheme="minorHAnsi"/>
          <w:szCs w:val="24"/>
        </w:rPr>
        <w:t xml:space="preserve">hundreds of international scientists at any one time, continue to be ignored by policy makers.  Meanwhile global forest carbon stores are being felled to supply an expanding wood pellet trade, predicted to escalate globally from 14 to 36 million tonnes </w:t>
      </w:r>
      <w:r w:rsidR="009568A9">
        <w:rPr>
          <w:rFonts w:asciiTheme="minorHAnsi" w:hAnsiTheme="minorHAnsi" w:cstheme="minorHAnsi"/>
          <w:szCs w:val="24"/>
        </w:rPr>
        <w:t>per annum as Europe, Japan and S</w:t>
      </w:r>
      <w:r w:rsidR="000254D6" w:rsidRPr="00632107">
        <w:rPr>
          <w:rFonts w:asciiTheme="minorHAnsi" w:hAnsiTheme="minorHAnsi" w:cstheme="minorHAnsi"/>
          <w:szCs w:val="24"/>
        </w:rPr>
        <w:t>outh K</w:t>
      </w:r>
      <w:r w:rsidR="00D80506" w:rsidRPr="00632107">
        <w:rPr>
          <w:rFonts w:asciiTheme="minorHAnsi" w:hAnsiTheme="minorHAnsi" w:cstheme="minorHAnsi"/>
          <w:szCs w:val="24"/>
        </w:rPr>
        <w:t>orea increase wood combustion.</w:t>
      </w:r>
      <w:r w:rsidR="00D80506" w:rsidRPr="00632107">
        <w:rPr>
          <w:rStyle w:val="EndnoteReference"/>
          <w:rFonts w:asciiTheme="minorHAnsi" w:hAnsiTheme="minorHAnsi" w:cstheme="minorHAnsi"/>
          <w:szCs w:val="24"/>
        </w:rPr>
        <w:endnoteReference w:id="49"/>
      </w:r>
    </w:p>
    <w:p w:rsidR="00660F44" w:rsidRDefault="00660F44" w:rsidP="00BC556C">
      <w:pPr>
        <w:pStyle w:val="NoSpacing"/>
        <w:jc w:val="both"/>
        <w:rPr>
          <w:rFonts w:asciiTheme="minorHAnsi" w:hAnsiTheme="minorHAnsi" w:cstheme="minorHAnsi"/>
          <w:szCs w:val="24"/>
        </w:rPr>
      </w:pPr>
    </w:p>
    <w:p w:rsidR="00660F44" w:rsidRDefault="00977134" w:rsidP="00BC556C">
      <w:pPr>
        <w:pStyle w:val="NoSpacing"/>
        <w:jc w:val="both"/>
        <w:rPr>
          <w:rFonts w:asciiTheme="minorHAnsi" w:hAnsiTheme="minorHAnsi" w:cstheme="minorHAnsi"/>
          <w:szCs w:val="24"/>
        </w:rPr>
      </w:pPr>
      <w:r>
        <w:rPr>
          <w:rFonts w:asciiTheme="minorHAnsi" w:hAnsiTheme="minorHAnsi" w:cstheme="minorHAnsi"/>
          <w:szCs w:val="24"/>
        </w:rPr>
        <w:t>In Australia,</w:t>
      </w:r>
      <w:r w:rsidR="000254D6" w:rsidRPr="00632107">
        <w:rPr>
          <w:rFonts w:asciiTheme="minorHAnsi" w:hAnsiTheme="minorHAnsi" w:cstheme="minorHAnsi"/>
          <w:szCs w:val="24"/>
        </w:rPr>
        <w:t xml:space="preserve"> industry sectors and government insist </w:t>
      </w:r>
      <w:r>
        <w:rPr>
          <w:rFonts w:asciiTheme="minorHAnsi" w:hAnsiTheme="minorHAnsi" w:cstheme="minorHAnsi"/>
          <w:szCs w:val="24"/>
        </w:rPr>
        <w:t xml:space="preserve">forest biomass </w:t>
      </w:r>
      <w:r w:rsidR="000254D6" w:rsidRPr="00632107">
        <w:rPr>
          <w:rFonts w:asciiTheme="minorHAnsi" w:hAnsiTheme="minorHAnsi" w:cstheme="minorHAnsi"/>
          <w:szCs w:val="24"/>
        </w:rPr>
        <w:t>will not drive</w:t>
      </w:r>
      <w:r>
        <w:rPr>
          <w:rFonts w:asciiTheme="minorHAnsi" w:hAnsiTheme="minorHAnsi" w:cstheme="minorHAnsi"/>
          <w:szCs w:val="24"/>
        </w:rPr>
        <w:t xml:space="preserve"> more</w:t>
      </w:r>
      <w:r w:rsidR="000254D6" w:rsidRPr="00632107">
        <w:rPr>
          <w:rFonts w:asciiTheme="minorHAnsi" w:hAnsiTheme="minorHAnsi" w:cstheme="minorHAnsi"/>
          <w:szCs w:val="24"/>
        </w:rPr>
        <w:t xml:space="preserve"> native forest logging.  The residue arg</w:t>
      </w:r>
      <w:r w:rsidR="00D80506" w:rsidRPr="00632107">
        <w:rPr>
          <w:rFonts w:asciiTheme="minorHAnsi" w:hAnsiTheme="minorHAnsi" w:cstheme="minorHAnsi"/>
          <w:szCs w:val="24"/>
        </w:rPr>
        <w:t>ument continues to be invoked.</w:t>
      </w:r>
      <w:r w:rsidR="00D80506" w:rsidRPr="00632107">
        <w:rPr>
          <w:rStyle w:val="EndnoteReference"/>
          <w:rFonts w:asciiTheme="minorHAnsi" w:hAnsiTheme="minorHAnsi" w:cstheme="minorHAnsi"/>
          <w:szCs w:val="24"/>
        </w:rPr>
        <w:endnoteReference w:id="50"/>
      </w:r>
      <w:r w:rsidR="000254D6" w:rsidRPr="00632107">
        <w:rPr>
          <w:rFonts w:asciiTheme="minorHAnsi" w:hAnsiTheme="minorHAnsi" w:cstheme="minorHAnsi"/>
          <w:szCs w:val="24"/>
        </w:rPr>
        <w:t xml:space="preserve">  At least three pieces of legislation </w:t>
      </w:r>
      <w:r>
        <w:rPr>
          <w:rFonts w:asciiTheme="minorHAnsi" w:hAnsiTheme="minorHAnsi" w:cstheme="minorHAnsi"/>
          <w:szCs w:val="24"/>
        </w:rPr>
        <w:t xml:space="preserve">have been passed to </w:t>
      </w:r>
      <w:r w:rsidR="000254D6" w:rsidRPr="00632107">
        <w:rPr>
          <w:rFonts w:asciiTheme="minorHAnsi" w:hAnsiTheme="minorHAnsi" w:cstheme="minorHAnsi"/>
          <w:szCs w:val="24"/>
        </w:rPr>
        <w:t xml:space="preserve">facilitate the use of native forest biomass as subsidised energy: NSW drafted the Protection of the Environment Operations (General) Amendment (Native Forest </w:t>
      </w:r>
      <w:r w:rsidR="00D80506" w:rsidRPr="00632107">
        <w:rPr>
          <w:rFonts w:asciiTheme="minorHAnsi" w:hAnsiTheme="minorHAnsi" w:cstheme="minorHAnsi"/>
          <w:szCs w:val="24"/>
        </w:rPr>
        <w:t>Bio material) Regulation 2013.</w:t>
      </w:r>
      <w:r w:rsidR="00D80506" w:rsidRPr="00632107">
        <w:rPr>
          <w:rStyle w:val="EndnoteReference"/>
          <w:rFonts w:asciiTheme="minorHAnsi" w:hAnsiTheme="minorHAnsi" w:cstheme="minorHAnsi"/>
          <w:szCs w:val="24"/>
        </w:rPr>
        <w:endnoteReference w:id="51"/>
      </w:r>
      <w:r w:rsidR="000254D6" w:rsidRPr="00632107">
        <w:rPr>
          <w:rFonts w:asciiTheme="minorHAnsi" w:hAnsiTheme="minorHAnsi" w:cstheme="minorHAnsi"/>
          <w:szCs w:val="24"/>
        </w:rPr>
        <w:t xml:space="preserve">  At a Federal level there was an amendment to the Renewable Energy Target 2015, and in 2018 in NSW the renewed NSW Regional Forest Agreement amended the definition of ‘other wood products’ to include forest biomass material.  An</w:t>
      </w:r>
      <w:r w:rsidR="0095621D">
        <w:rPr>
          <w:rFonts w:asciiTheme="minorHAnsi" w:hAnsiTheme="minorHAnsi" w:cstheme="minorHAnsi"/>
          <w:szCs w:val="24"/>
        </w:rPr>
        <w:t xml:space="preserve">alysis of 2015 </w:t>
      </w:r>
      <w:r w:rsidR="000254D6" w:rsidRPr="00632107">
        <w:rPr>
          <w:rFonts w:asciiTheme="minorHAnsi" w:hAnsiTheme="minorHAnsi" w:cstheme="minorHAnsi"/>
          <w:szCs w:val="24"/>
        </w:rPr>
        <w:t xml:space="preserve">legislation passed by the Abbott government reveals </w:t>
      </w:r>
      <w:r w:rsidR="0095621D">
        <w:rPr>
          <w:rFonts w:asciiTheme="minorHAnsi" w:hAnsiTheme="minorHAnsi" w:cstheme="minorHAnsi"/>
          <w:szCs w:val="24"/>
        </w:rPr>
        <w:t xml:space="preserve">fine print that permits </w:t>
      </w:r>
      <w:r w:rsidR="000254D6" w:rsidRPr="00632107">
        <w:rPr>
          <w:rFonts w:asciiTheme="minorHAnsi" w:hAnsiTheme="minorHAnsi" w:cstheme="minorHAnsi"/>
          <w:szCs w:val="24"/>
        </w:rPr>
        <w:t xml:space="preserve">whole </w:t>
      </w:r>
    </w:p>
    <w:p w:rsidR="009568A9" w:rsidRDefault="000254D6" w:rsidP="00BC556C">
      <w:pPr>
        <w:pStyle w:val="NoSpacing"/>
        <w:jc w:val="both"/>
        <w:rPr>
          <w:rFonts w:asciiTheme="minorHAnsi" w:hAnsiTheme="minorHAnsi" w:cstheme="minorHAnsi"/>
          <w:szCs w:val="24"/>
        </w:rPr>
      </w:pPr>
      <w:proofErr w:type="gramStart"/>
      <w:r w:rsidRPr="00632107">
        <w:rPr>
          <w:rFonts w:asciiTheme="minorHAnsi" w:hAnsiTheme="minorHAnsi" w:cstheme="minorHAnsi"/>
          <w:szCs w:val="24"/>
        </w:rPr>
        <w:t>trees</w:t>
      </w:r>
      <w:proofErr w:type="gramEnd"/>
      <w:r w:rsidRPr="00632107">
        <w:rPr>
          <w:rFonts w:asciiTheme="minorHAnsi" w:hAnsiTheme="minorHAnsi" w:cstheme="minorHAnsi"/>
          <w:szCs w:val="24"/>
        </w:rPr>
        <w:t xml:space="preserve"> o</w:t>
      </w:r>
      <w:r w:rsidR="009568A9">
        <w:rPr>
          <w:rFonts w:asciiTheme="minorHAnsi" w:hAnsiTheme="minorHAnsi" w:cstheme="minorHAnsi"/>
          <w:szCs w:val="24"/>
        </w:rPr>
        <w:t xml:space="preserve">f native forests to be </w:t>
      </w:r>
      <w:r w:rsidRPr="00632107">
        <w:rPr>
          <w:rFonts w:asciiTheme="minorHAnsi" w:hAnsiTheme="minorHAnsi" w:cstheme="minorHAnsi"/>
          <w:szCs w:val="24"/>
        </w:rPr>
        <w:t>sub</w:t>
      </w:r>
      <w:r w:rsidR="00D80506" w:rsidRPr="00632107">
        <w:rPr>
          <w:rFonts w:asciiTheme="minorHAnsi" w:hAnsiTheme="minorHAnsi" w:cstheme="minorHAnsi"/>
          <w:szCs w:val="24"/>
        </w:rPr>
        <w:t xml:space="preserve">sidised </w:t>
      </w:r>
      <w:r w:rsidR="009568A9">
        <w:rPr>
          <w:rFonts w:asciiTheme="minorHAnsi" w:hAnsiTheme="minorHAnsi" w:cstheme="minorHAnsi"/>
          <w:szCs w:val="24"/>
        </w:rPr>
        <w:t>as renewable energy when burnt</w:t>
      </w:r>
      <w:r w:rsidR="00D80506" w:rsidRPr="00632107">
        <w:rPr>
          <w:rFonts w:asciiTheme="minorHAnsi" w:hAnsiTheme="minorHAnsi" w:cstheme="minorHAnsi"/>
          <w:szCs w:val="24"/>
        </w:rPr>
        <w:t>.</w:t>
      </w:r>
      <w:r w:rsidR="00D80506" w:rsidRPr="00632107">
        <w:rPr>
          <w:rStyle w:val="EndnoteReference"/>
          <w:rFonts w:asciiTheme="minorHAnsi" w:hAnsiTheme="minorHAnsi" w:cstheme="minorHAnsi"/>
          <w:szCs w:val="24"/>
        </w:rPr>
        <w:endnoteReference w:id="52"/>
      </w:r>
      <w:r w:rsidR="0095621D">
        <w:rPr>
          <w:rFonts w:asciiTheme="minorHAnsi" w:hAnsiTheme="minorHAnsi" w:cstheme="minorHAnsi"/>
          <w:szCs w:val="24"/>
        </w:rPr>
        <w:t xml:space="preserve"> </w:t>
      </w:r>
      <w:r w:rsidRPr="00632107">
        <w:rPr>
          <w:rFonts w:asciiTheme="minorHAnsi" w:hAnsiTheme="minorHAnsi" w:cstheme="minorHAnsi"/>
          <w:szCs w:val="24"/>
        </w:rPr>
        <w:t>From the mid 2000’s the NSW Department of Primary Industries (DPI) has advocated large scale power gener</w:t>
      </w:r>
      <w:r w:rsidR="00D80506" w:rsidRPr="00632107">
        <w:rPr>
          <w:rFonts w:asciiTheme="minorHAnsi" w:hAnsiTheme="minorHAnsi" w:cstheme="minorHAnsi"/>
          <w:szCs w:val="24"/>
        </w:rPr>
        <w:t>ation from native forest wood.</w:t>
      </w:r>
      <w:r w:rsidR="00D80506" w:rsidRPr="00632107">
        <w:rPr>
          <w:rStyle w:val="EndnoteReference"/>
          <w:rFonts w:asciiTheme="minorHAnsi" w:hAnsiTheme="minorHAnsi" w:cstheme="minorHAnsi"/>
          <w:szCs w:val="24"/>
        </w:rPr>
        <w:endnoteReference w:id="53"/>
      </w:r>
      <w:r w:rsidR="007C6409">
        <w:rPr>
          <w:rFonts w:asciiTheme="minorHAnsi" w:hAnsiTheme="minorHAnsi" w:cstheme="minorHAnsi"/>
          <w:szCs w:val="24"/>
        </w:rPr>
        <w:t xml:space="preserve">  In </w:t>
      </w:r>
      <w:r w:rsidRPr="00632107">
        <w:rPr>
          <w:rFonts w:asciiTheme="minorHAnsi" w:hAnsiTheme="minorHAnsi" w:cstheme="minorHAnsi"/>
          <w:szCs w:val="24"/>
        </w:rPr>
        <w:t>2017 the NSW DPI repor</w:t>
      </w:r>
      <w:r w:rsidR="007C6409">
        <w:rPr>
          <w:rFonts w:asciiTheme="minorHAnsi" w:hAnsiTheme="minorHAnsi" w:cstheme="minorHAnsi"/>
          <w:szCs w:val="24"/>
        </w:rPr>
        <w:t xml:space="preserve">ted a million </w:t>
      </w:r>
      <w:r w:rsidR="007C6409">
        <w:rPr>
          <w:rFonts w:asciiTheme="minorHAnsi" w:hAnsiTheme="minorHAnsi" w:cstheme="minorHAnsi"/>
          <w:szCs w:val="24"/>
        </w:rPr>
        <w:lastRenderedPageBreak/>
        <w:t>tonnes of residue</w:t>
      </w:r>
      <w:r w:rsidRPr="00632107">
        <w:rPr>
          <w:rFonts w:asciiTheme="minorHAnsi" w:hAnsiTheme="minorHAnsi" w:cstheme="minorHAnsi"/>
          <w:szCs w:val="24"/>
        </w:rPr>
        <w:t xml:space="preserve"> available for the bioenergy/fuel trade, the definition of which includes whole trees with</w:t>
      </w:r>
      <w:r w:rsidR="007C6409">
        <w:rPr>
          <w:rFonts w:asciiTheme="minorHAnsi" w:hAnsiTheme="minorHAnsi" w:cstheme="minorHAnsi"/>
          <w:szCs w:val="24"/>
        </w:rPr>
        <w:t>out</w:t>
      </w:r>
      <w:r w:rsidRPr="00632107">
        <w:rPr>
          <w:rFonts w:asciiTheme="minorHAnsi" w:hAnsiTheme="minorHAnsi" w:cstheme="minorHAnsi"/>
          <w:szCs w:val="24"/>
        </w:rPr>
        <w:t xml:space="preserve"> species restrictions</w:t>
      </w:r>
      <w:r w:rsidR="007C6409">
        <w:rPr>
          <w:rFonts w:asciiTheme="minorHAnsi" w:hAnsiTheme="minorHAnsi" w:cstheme="minorHAnsi"/>
          <w:szCs w:val="24"/>
        </w:rPr>
        <w:t xml:space="preserve"> and which </w:t>
      </w:r>
      <w:r w:rsidRPr="00632107">
        <w:rPr>
          <w:rFonts w:asciiTheme="minorHAnsi" w:hAnsiTheme="minorHAnsi" w:cstheme="minorHAnsi"/>
          <w:szCs w:val="24"/>
        </w:rPr>
        <w:t xml:space="preserve">includes forest compartments </w:t>
      </w:r>
      <w:r w:rsidR="007C6409">
        <w:rPr>
          <w:rFonts w:asciiTheme="minorHAnsi" w:hAnsiTheme="minorHAnsi" w:cstheme="minorHAnsi"/>
          <w:szCs w:val="24"/>
        </w:rPr>
        <w:t xml:space="preserve">housing Australian </w:t>
      </w:r>
      <w:r w:rsidRPr="00632107">
        <w:rPr>
          <w:rFonts w:asciiTheme="minorHAnsi" w:hAnsiTheme="minorHAnsi" w:cstheme="minorHAnsi"/>
          <w:szCs w:val="24"/>
        </w:rPr>
        <w:t xml:space="preserve">wildlife threatened with extinction.  </w:t>
      </w:r>
    </w:p>
    <w:p w:rsidR="009568A9" w:rsidRDefault="009568A9" w:rsidP="00BC556C">
      <w:pPr>
        <w:pStyle w:val="NoSpacing"/>
        <w:jc w:val="both"/>
        <w:rPr>
          <w:rFonts w:asciiTheme="minorHAnsi" w:hAnsiTheme="minorHAnsi" w:cstheme="minorHAnsi"/>
          <w:szCs w:val="24"/>
        </w:rPr>
      </w:pPr>
    </w:p>
    <w:p w:rsidR="000254D6" w:rsidRPr="00632107" w:rsidRDefault="000254D6" w:rsidP="00BC556C">
      <w:pPr>
        <w:pStyle w:val="NoSpacing"/>
        <w:jc w:val="both"/>
        <w:rPr>
          <w:rFonts w:asciiTheme="minorHAnsi" w:hAnsiTheme="minorHAnsi" w:cstheme="minorHAnsi"/>
          <w:szCs w:val="24"/>
        </w:rPr>
      </w:pPr>
      <w:r w:rsidRPr="00632107">
        <w:rPr>
          <w:rFonts w:asciiTheme="minorHAnsi" w:hAnsiTheme="minorHAnsi" w:cstheme="minorHAnsi"/>
          <w:szCs w:val="24"/>
        </w:rPr>
        <w:t xml:space="preserve">Contemporaneous publications by the same department define whole trees as the preferred and feasible residue, not branches or leaves left </w:t>
      </w:r>
      <w:r w:rsidR="00D80506" w:rsidRPr="00632107">
        <w:rPr>
          <w:rFonts w:asciiTheme="minorHAnsi" w:hAnsiTheme="minorHAnsi" w:cstheme="minorHAnsi"/>
          <w:szCs w:val="24"/>
        </w:rPr>
        <w:t>over from logging operations.</w:t>
      </w:r>
      <w:r w:rsidR="00D80506" w:rsidRPr="00632107">
        <w:rPr>
          <w:rStyle w:val="EndnoteReference"/>
          <w:rFonts w:asciiTheme="minorHAnsi" w:hAnsiTheme="minorHAnsi" w:cstheme="minorHAnsi"/>
          <w:szCs w:val="24"/>
        </w:rPr>
        <w:endnoteReference w:id="54"/>
      </w:r>
      <w:r w:rsidRPr="00632107">
        <w:rPr>
          <w:rFonts w:asciiTheme="minorHAnsi" w:hAnsiTheme="minorHAnsi" w:cstheme="minorHAnsi"/>
          <w:szCs w:val="24"/>
        </w:rPr>
        <w:t xml:space="preserve">  As large-scale renewable energy credits (subsidies) augment profit of Australian coal-fired power stations substituting (some) native forest biomass for coal</w:t>
      </w:r>
      <w:r w:rsidR="009568A9">
        <w:rPr>
          <w:rFonts w:asciiTheme="minorHAnsi" w:hAnsiTheme="minorHAnsi" w:cstheme="minorHAnsi"/>
          <w:szCs w:val="24"/>
        </w:rPr>
        <w:t xml:space="preserve">, the fossil fuel industry </w:t>
      </w:r>
      <w:r w:rsidRPr="00632107">
        <w:rPr>
          <w:rFonts w:asciiTheme="minorHAnsi" w:hAnsiTheme="minorHAnsi" w:cstheme="minorHAnsi"/>
          <w:szCs w:val="24"/>
        </w:rPr>
        <w:t>b</w:t>
      </w:r>
      <w:r w:rsidR="00395AB3" w:rsidRPr="00632107">
        <w:rPr>
          <w:rFonts w:asciiTheme="minorHAnsi" w:hAnsiTheme="minorHAnsi" w:cstheme="minorHAnsi"/>
          <w:szCs w:val="24"/>
        </w:rPr>
        <w:t>enefits, and can be prolonged.</w:t>
      </w:r>
      <w:r w:rsidR="00395AB3" w:rsidRPr="00632107">
        <w:rPr>
          <w:rStyle w:val="EndnoteReference"/>
          <w:rFonts w:asciiTheme="minorHAnsi" w:hAnsiTheme="minorHAnsi" w:cstheme="minorHAnsi"/>
          <w:szCs w:val="24"/>
        </w:rPr>
        <w:endnoteReference w:id="55"/>
      </w:r>
      <w:r w:rsidRPr="00632107">
        <w:rPr>
          <w:rFonts w:asciiTheme="minorHAnsi" w:hAnsiTheme="minorHAnsi" w:cstheme="minorHAnsi"/>
          <w:szCs w:val="24"/>
        </w:rPr>
        <w:t xml:space="preserve">  </w:t>
      </w:r>
      <w:proofErr w:type="gramStart"/>
      <w:r w:rsidRPr="00632107">
        <w:rPr>
          <w:rFonts w:asciiTheme="minorHAnsi" w:hAnsiTheme="minorHAnsi" w:cstheme="minorHAnsi"/>
          <w:szCs w:val="24"/>
        </w:rPr>
        <w:t>Where native forest biomass feedstock is co-generated with other subst</w:t>
      </w:r>
      <w:r w:rsidR="00395AB3" w:rsidRPr="00632107">
        <w:rPr>
          <w:rFonts w:asciiTheme="minorHAnsi" w:hAnsiTheme="minorHAnsi" w:cstheme="minorHAnsi"/>
          <w:szCs w:val="24"/>
        </w:rPr>
        <w:t>ances that is also subsidised.</w:t>
      </w:r>
      <w:proofErr w:type="gramEnd"/>
      <w:r w:rsidR="00395AB3" w:rsidRPr="00632107">
        <w:rPr>
          <w:rStyle w:val="EndnoteReference"/>
          <w:rFonts w:asciiTheme="minorHAnsi" w:hAnsiTheme="minorHAnsi" w:cstheme="minorHAnsi"/>
          <w:szCs w:val="24"/>
        </w:rPr>
        <w:endnoteReference w:id="56"/>
      </w:r>
    </w:p>
    <w:p w:rsidR="000254D6" w:rsidRPr="00632107" w:rsidRDefault="000254D6" w:rsidP="00BC556C">
      <w:pPr>
        <w:pStyle w:val="NoSpacing"/>
        <w:jc w:val="both"/>
        <w:rPr>
          <w:rFonts w:asciiTheme="minorHAnsi" w:hAnsiTheme="minorHAnsi" w:cstheme="minorHAnsi"/>
          <w:szCs w:val="24"/>
        </w:rPr>
      </w:pPr>
    </w:p>
    <w:p w:rsidR="00814BD4" w:rsidRDefault="00C97714" w:rsidP="00BC556C">
      <w:pPr>
        <w:pStyle w:val="NoSpacing"/>
        <w:jc w:val="both"/>
        <w:rPr>
          <w:rFonts w:asciiTheme="minorHAnsi" w:hAnsiTheme="minorHAnsi" w:cstheme="minorHAnsi"/>
          <w:szCs w:val="24"/>
        </w:rPr>
        <w:sectPr w:rsidR="00814BD4" w:rsidSect="00BC556C">
          <w:endnotePr>
            <w:numFmt w:val="decimal"/>
          </w:endnotePr>
          <w:type w:val="continuous"/>
          <w:pgSz w:w="11906" w:h="16838"/>
          <w:pgMar w:top="1440" w:right="1080" w:bottom="1440" w:left="1080" w:header="708" w:footer="708" w:gutter="0"/>
          <w:cols w:num="2" w:space="624"/>
          <w:docGrid w:linePitch="360"/>
        </w:sectPr>
      </w:pPr>
      <w:r>
        <w:rPr>
          <w:rFonts w:asciiTheme="minorHAnsi" w:hAnsiTheme="minorHAnsi" w:cstheme="minorHAnsi"/>
          <w:szCs w:val="24"/>
        </w:rPr>
        <w:t xml:space="preserve">Export of </w:t>
      </w:r>
      <w:r w:rsidR="000254D6" w:rsidRPr="00632107">
        <w:rPr>
          <w:rFonts w:asciiTheme="minorHAnsi" w:hAnsiTheme="minorHAnsi" w:cstheme="minorHAnsi"/>
          <w:szCs w:val="24"/>
        </w:rPr>
        <w:t>wood biomass and pellets</w:t>
      </w:r>
      <w:r>
        <w:rPr>
          <w:rFonts w:asciiTheme="minorHAnsi" w:hAnsiTheme="minorHAnsi" w:cstheme="minorHAnsi"/>
          <w:szCs w:val="24"/>
        </w:rPr>
        <w:t xml:space="preserve">, </w:t>
      </w:r>
      <w:r w:rsidR="009568A9">
        <w:rPr>
          <w:rFonts w:asciiTheme="minorHAnsi" w:hAnsiTheme="minorHAnsi" w:cstheme="minorHAnsi"/>
          <w:szCs w:val="24"/>
        </w:rPr>
        <w:t xml:space="preserve">championed by the National Party </w:t>
      </w:r>
      <w:r>
        <w:rPr>
          <w:rFonts w:asciiTheme="minorHAnsi" w:hAnsiTheme="minorHAnsi" w:cstheme="minorHAnsi"/>
          <w:szCs w:val="24"/>
        </w:rPr>
        <w:t xml:space="preserve">is </w:t>
      </w:r>
      <w:r w:rsidR="000254D6" w:rsidRPr="00632107">
        <w:rPr>
          <w:rFonts w:asciiTheme="minorHAnsi" w:hAnsiTheme="minorHAnsi" w:cstheme="minorHAnsi"/>
          <w:szCs w:val="24"/>
        </w:rPr>
        <w:t>federal Coalition policy</w:t>
      </w:r>
      <w:r>
        <w:rPr>
          <w:rFonts w:asciiTheme="minorHAnsi" w:hAnsiTheme="minorHAnsi" w:cstheme="minorHAnsi"/>
          <w:szCs w:val="24"/>
        </w:rPr>
        <w:t xml:space="preserve">.  It plays out </w:t>
      </w:r>
      <w:r w:rsidR="000254D6" w:rsidRPr="00632107">
        <w:rPr>
          <w:rFonts w:asciiTheme="minorHAnsi" w:hAnsiTheme="minorHAnsi" w:cstheme="minorHAnsi"/>
          <w:szCs w:val="24"/>
        </w:rPr>
        <w:t>via The National Forest Indu</w:t>
      </w:r>
      <w:r>
        <w:rPr>
          <w:rFonts w:asciiTheme="minorHAnsi" w:hAnsiTheme="minorHAnsi" w:cstheme="minorHAnsi"/>
          <w:szCs w:val="24"/>
        </w:rPr>
        <w:t xml:space="preserve">stries Plan 2018 </w:t>
      </w:r>
      <w:r w:rsidR="008F1CF0" w:rsidRPr="00632107">
        <w:rPr>
          <w:rStyle w:val="EndnoteReference"/>
          <w:rFonts w:asciiTheme="minorHAnsi" w:hAnsiTheme="minorHAnsi" w:cstheme="minorHAnsi"/>
          <w:szCs w:val="24"/>
        </w:rPr>
        <w:endnoteReference w:id="57"/>
      </w:r>
      <w:r>
        <w:rPr>
          <w:rFonts w:asciiTheme="minorHAnsi" w:hAnsiTheme="minorHAnsi" w:cstheme="minorHAnsi"/>
          <w:szCs w:val="24"/>
        </w:rPr>
        <w:t xml:space="preserve"> </w:t>
      </w:r>
      <w:r w:rsidR="000254D6" w:rsidRPr="00632107">
        <w:rPr>
          <w:rFonts w:asciiTheme="minorHAnsi" w:hAnsiTheme="minorHAnsi" w:cstheme="minorHAnsi"/>
          <w:szCs w:val="24"/>
        </w:rPr>
        <w:t xml:space="preserve">which restates </w:t>
      </w:r>
      <w:r>
        <w:rPr>
          <w:rFonts w:asciiTheme="minorHAnsi" w:hAnsiTheme="minorHAnsi" w:cstheme="minorHAnsi"/>
          <w:szCs w:val="24"/>
        </w:rPr>
        <w:t xml:space="preserve">the </w:t>
      </w:r>
      <w:r w:rsidR="008F1CF0" w:rsidRPr="00632107">
        <w:rPr>
          <w:rFonts w:asciiTheme="minorHAnsi" w:hAnsiTheme="minorHAnsi" w:cstheme="minorHAnsi"/>
          <w:szCs w:val="24"/>
        </w:rPr>
        <w:t xml:space="preserve">logging </w:t>
      </w:r>
      <w:r>
        <w:rPr>
          <w:rFonts w:asciiTheme="minorHAnsi" w:hAnsiTheme="minorHAnsi" w:cstheme="minorHAnsi"/>
          <w:szCs w:val="24"/>
        </w:rPr>
        <w:t xml:space="preserve">industry agenda successfully played out </w:t>
      </w:r>
      <w:r w:rsidR="008F1CF0" w:rsidRPr="00632107">
        <w:rPr>
          <w:rFonts w:asciiTheme="minorHAnsi" w:hAnsiTheme="minorHAnsi" w:cstheme="minorHAnsi"/>
          <w:szCs w:val="24"/>
        </w:rPr>
        <w:t>this decade.</w:t>
      </w:r>
      <w:r w:rsidR="008F1CF0" w:rsidRPr="00632107">
        <w:rPr>
          <w:rStyle w:val="EndnoteReference"/>
          <w:rFonts w:asciiTheme="minorHAnsi" w:hAnsiTheme="minorHAnsi" w:cstheme="minorHAnsi"/>
          <w:szCs w:val="24"/>
        </w:rPr>
        <w:endnoteReference w:id="58"/>
      </w:r>
      <w:r w:rsidR="000254D6" w:rsidRPr="00632107">
        <w:rPr>
          <w:rFonts w:asciiTheme="minorHAnsi" w:hAnsiTheme="minorHAnsi" w:cstheme="minorHAnsi"/>
          <w:szCs w:val="24"/>
        </w:rPr>
        <w:t xml:space="preserve">  </w:t>
      </w:r>
      <w:r>
        <w:rPr>
          <w:rFonts w:asciiTheme="minorHAnsi" w:hAnsiTheme="minorHAnsi" w:cstheme="minorHAnsi"/>
          <w:szCs w:val="24"/>
        </w:rPr>
        <w:t xml:space="preserve">Hence the </w:t>
      </w:r>
      <w:r w:rsidR="000254D6" w:rsidRPr="00632107">
        <w:rPr>
          <w:rFonts w:asciiTheme="minorHAnsi" w:hAnsiTheme="minorHAnsi" w:cstheme="minorHAnsi"/>
          <w:szCs w:val="24"/>
        </w:rPr>
        <w:t>Australia</w:t>
      </w:r>
      <w:r>
        <w:rPr>
          <w:rFonts w:asciiTheme="minorHAnsi" w:hAnsiTheme="minorHAnsi" w:cstheme="minorHAnsi"/>
          <w:szCs w:val="24"/>
        </w:rPr>
        <w:t>n government</w:t>
      </w:r>
      <w:r w:rsidR="000254D6" w:rsidRPr="00632107">
        <w:rPr>
          <w:rFonts w:asciiTheme="minorHAnsi" w:hAnsiTheme="minorHAnsi" w:cstheme="minorHAnsi"/>
          <w:szCs w:val="24"/>
        </w:rPr>
        <w:t xml:space="preserve"> is marketing forests for export for combustion in Asia.  In December 2018 Australian government representatives met Japanese government officials and Japanese industry leaders, including bioenergy and paper companies</w:t>
      </w:r>
      <w:r w:rsidR="009568A9">
        <w:rPr>
          <w:rFonts w:asciiTheme="minorHAnsi" w:hAnsiTheme="minorHAnsi" w:cstheme="minorHAnsi"/>
          <w:szCs w:val="24"/>
        </w:rPr>
        <w:t>. T</w:t>
      </w:r>
      <w:r w:rsidR="000254D6" w:rsidRPr="00632107">
        <w:rPr>
          <w:rFonts w:asciiTheme="minorHAnsi" w:hAnsiTheme="minorHAnsi" w:cstheme="minorHAnsi"/>
          <w:szCs w:val="24"/>
        </w:rPr>
        <w:t xml:space="preserve">he Federal Member for Barker and Co-Convenor of the Australian Parliamentary Friends of Forestry and forest Products group, Mr. Tony </w:t>
      </w:r>
      <w:proofErr w:type="spellStart"/>
      <w:r w:rsidR="000254D6" w:rsidRPr="00632107">
        <w:rPr>
          <w:rFonts w:asciiTheme="minorHAnsi" w:hAnsiTheme="minorHAnsi" w:cstheme="minorHAnsi"/>
          <w:szCs w:val="24"/>
        </w:rPr>
        <w:t>Pasin</w:t>
      </w:r>
      <w:proofErr w:type="spellEnd"/>
      <w:r w:rsidR="000254D6" w:rsidRPr="00632107">
        <w:rPr>
          <w:rFonts w:asciiTheme="minorHAnsi" w:hAnsiTheme="minorHAnsi" w:cstheme="minorHAnsi"/>
          <w:szCs w:val="24"/>
        </w:rPr>
        <w:t xml:space="preserve"> MP, anno</w:t>
      </w:r>
      <w:r>
        <w:rPr>
          <w:rFonts w:asciiTheme="minorHAnsi" w:hAnsiTheme="minorHAnsi" w:cstheme="minorHAnsi"/>
          <w:szCs w:val="24"/>
        </w:rPr>
        <w:t>unced</w:t>
      </w:r>
      <w:r w:rsidR="00116CA3">
        <w:rPr>
          <w:rFonts w:asciiTheme="minorHAnsi" w:hAnsiTheme="minorHAnsi" w:cstheme="minorHAnsi"/>
          <w:szCs w:val="24"/>
        </w:rPr>
        <w:t>:</w:t>
      </w:r>
    </w:p>
    <w:p w:rsidR="00C97714" w:rsidRDefault="00C97714" w:rsidP="00C97714">
      <w:pPr>
        <w:pStyle w:val="NoSpacing"/>
        <w:rPr>
          <w:rFonts w:asciiTheme="minorHAnsi" w:hAnsiTheme="minorHAnsi" w:cstheme="minorHAnsi"/>
          <w:i/>
          <w:sz w:val="26"/>
          <w:szCs w:val="26"/>
        </w:rPr>
        <w:sectPr w:rsidR="00C97714" w:rsidSect="00116CA3">
          <w:endnotePr>
            <w:numFmt w:val="decimal"/>
          </w:endnotePr>
          <w:type w:val="continuous"/>
          <w:pgSz w:w="11906" w:h="16838"/>
          <w:pgMar w:top="1440" w:right="1080" w:bottom="1440" w:left="1080" w:header="708" w:footer="708" w:gutter="0"/>
          <w:cols w:space="708"/>
          <w:docGrid w:linePitch="360"/>
        </w:sectPr>
      </w:pPr>
    </w:p>
    <w:p w:rsidR="000254D6" w:rsidRPr="009568A9" w:rsidRDefault="000254D6" w:rsidP="00116CA3">
      <w:pPr>
        <w:pStyle w:val="NoSpacing"/>
        <w:rPr>
          <w:rFonts w:asciiTheme="minorHAnsi" w:hAnsiTheme="minorHAnsi" w:cstheme="minorHAnsi"/>
          <w:sz w:val="26"/>
          <w:szCs w:val="26"/>
        </w:rPr>
      </w:pPr>
      <w:r w:rsidRPr="009568A9">
        <w:rPr>
          <w:rFonts w:asciiTheme="minorHAnsi" w:hAnsiTheme="minorHAnsi" w:cstheme="minorHAnsi"/>
          <w:i/>
          <w:sz w:val="26"/>
          <w:szCs w:val="26"/>
        </w:rPr>
        <w:lastRenderedPageBreak/>
        <w:t>Japan’s appetite for our Aussie woodchips and manufact</w:t>
      </w:r>
      <w:r w:rsidR="00C97714">
        <w:rPr>
          <w:rFonts w:asciiTheme="minorHAnsi" w:hAnsiTheme="minorHAnsi" w:cstheme="minorHAnsi"/>
          <w:i/>
          <w:sz w:val="26"/>
          <w:szCs w:val="26"/>
        </w:rPr>
        <w:t xml:space="preserve">ured bio-pellets has driven the </w:t>
      </w:r>
      <w:r w:rsidRPr="009568A9">
        <w:rPr>
          <w:rFonts w:asciiTheme="minorHAnsi" w:hAnsiTheme="minorHAnsi" w:cstheme="minorHAnsi"/>
          <w:i/>
          <w:sz w:val="26"/>
          <w:szCs w:val="26"/>
        </w:rPr>
        <w:t>c</w:t>
      </w:r>
      <w:r w:rsidR="00977134" w:rsidRPr="009568A9">
        <w:rPr>
          <w:rFonts w:asciiTheme="minorHAnsi" w:hAnsiTheme="minorHAnsi" w:cstheme="minorHAnsi"/>
          <w:i/>
          <w:sz w:val="26"/>
          <w:szCs w:val="26"/>
        </w:rPr>
        <w:t xml:space="preserve">ountry’s move into bio-energy” </w:t>
      </w:r>
      <w:r w:rsidRPr="009568A9">
        <w:rPr>
          <w:rFonts w:asciiTheme="minorHAnsi" w:hAnsiTheme="minorHAnsi" w:cstheme="minorHAnsi"/>
          <w:i/>
          <w:sz w:val="26"/>
          <w:szCs w:val="26"/>
        </w:rPr>
        <w:t>and, with the release of the Federal Government’s National Forest Industries Plan</w:t>
      </w:r>
      <w:r w:rsidR="00977134" w:rsidRPr="009568A9">
        <w:rPr>
          <w:rFonts w:asciiTheme="minorHAnsi" w:hAnsiTheme="minorHAnsi" w:cstheme="minorHAnsi"/>
          <w:i/>
          <w:sz w:val="26"/>
          <w:szCs w:val="26"/>
        </w:rPr>
        <w:t>,</w:t>
      </w:r>
      <w:r w:rsidRPr="009568A9">
        <w:rPr>
          <w:rFonts w:asciiTheme="minorHAnsi" w:hAnsiTheme="minorHAnsi" w:cstheme="minorHAnsi"/>
          <w:i/>
          <w:sz w:val="26"/>
          <w:szCs w:val="26"/>
        </w:rPr>
        <w:t xml:space="preserve"> “it’s the perfect time to ensure the Japanese government understands the opportunities that will open for the forestry sector in Australia and what t</w:t>
      </w:r>
      <w:r w:rsidR="00977134" w:rsidRPr="009568A9">
        <w:rPr>
          <w:rFonts w:asciiTheme="minorHAnsi" w:hAnsiTheme="minorHAnsi" w:cstheme="minorHAnsi"/>
          <w:i/>
          <w:sz w:val="26"/>
          <w:szCs w:val="26"/>
        </w:rPr>
        <w:t>his means for increased trade”.</w:t>
      </w:r>
      <w:r w:rsidR="008F1CF0" w:rsidRPr="009568A9">
        <w:rPr>
          <w:rStyle w:val="EndnoteReference"/>
          <w:rFonts w:asciiTheme="minorHAnsi" w:hAnsiTheme="minorHAnsi" w:cstheme="minorHAnsi"/>
          <w:i/>
          <w:sz w:val="26"/>
          <w:szCs w:val="26"/>
        </w:rPr>
        <w:endnoteReference w:id="59"/>
      </w:r>
    </w:p>
    <w:p w:rsidR="00814BD4" w:rsidRDefault="00814BD4" w:rsidP="00116CA3">
      <w:pPr>
        <w:pStyle w:val="NoSpacing"/>
        <w:rPr>
          <w:rFonts w:asciiTheme="minorHAnsi" w:hAnsiTheme="minorHAnsi" w:cstheme="minorHAnsi"/>
          <w:b/>
          <w:szCs w:val="24"/>
        </w:rPr>
        <w:sectPr w:rsidR="00814BD4" w:rsidSect="00116CA3">
          <w:endnotePr>
            <w:numFmt w:val="decimal"/>
          </w:endnotePr>
          <w:type w:val="continuous"/>
          <w:pgSz w:w="11906" w:h="16838"/>
          <w:pgMar w:top="1440" w:right="1080" w:bottom="1440" w:left="1080" w:header="708" w:footer="708" w:gutter="0"/>
          <w:cols w:space="708"/>
          <w:docGrid w:linePitch="360"/>
        </w:sectPr>
      </w:pPr>
    </w:p>
    <w:p w:rsidR="005578D7" w:rsidRDefault="005578D7" w:rsidP="000254D6">
      <w:pPr>
        <w:pStyle w:val="NoSpacing"/>
        <w:rPr>
          <w:rFonts w:asciiTheme="minorHAnsi" w:hAnsiTheme="minorHAnsi" w:cstheme="minorHAnsi"/>
          <w:b/>
          <w:szCs w:val="24"/>
        </w:rPr>
      </w:pPr>
    </w:p>
    <w:p w:rsidR="00BC556C" w:rsidRDefault="000254D6" w:rsidP="000254D6">
      <w:pPr>
        <w:pStyle w:val="NoSpacing"/>
        <w:rPr>
          <w:rFonts w:asciiTheme="minorHAnsi" w:hAnsiTheme="minorHAnsi" w:cstheme="minorHAnsi"/>
          <w:szCs w:val="24"/>
        </w:rPr>
      </w:pPr>
      <w:r w:rsidRPr="00632107">
        <w:rPr>
          <w:rFonts w:asciiTheme="minorHAnsi" w:hAnsiTheme="minorHAnsi" w:cstheme="minorHAnsi"/>
          <w:b/>
          <w:szCs w:val="24"/>
        </w:rPr>
        <w:t>Japan’s wood pellet demand is estimated to increase from 500,000 tonnes in 2017 to 9.5 million tonnes in 2025.  Total biomass demand in Japan is expected to increase from 7.6 million tonnes in 2017 to 23 million tonnes in 2025</w:t>
      </w:r>
      <w:r w:rsidR="008F1CF0" w:rsidRPr="00632107">
        <w:rPr>
          <w:rFonts w:asciiTheme="minorHAnsi" w:hAnsiTheme="minorHAnsi" w:cstheme="minorHAnsi"/>
          <w:szCs w:val="24"/>
        </w:rPr>
        <w:t>.</w:t>
      </w:r>
      <w:r w:rsidR="008F1CF0" w:rsidRPr="00632107">
        <w:rPr>
          <w:rStyle w:val="EndnoteReference"/>
          <w:rFonts w:asciiTheme="minorHAnsi" w:hAnsiTheme="minorHAnsi" w:cstheme="minorHAnsi"/>
          <w:szCs w:val="24"/>
        </w:rPr>
        <w:endnoteReference w:id="60"/>
      </w:r>
      <w:r w:rsidRPr="00632107">
        <w:rPr>
          <w:rFonts w:asciiTheme="minorHAnsi" w:hAnsiTheme="minorHAnsi" w:cstheme="minorHAnsi"/>
          <w:szCs w:val="24"/>
        </w:rPr>
        <w:t xml:space="preserve">  </w:t>
      </w:r>
    </w:p>
    <w:p w:rsidR="000254D6" w:rsidRPr="00BC556C" w:rsidRDefault="000254D6" w:rsidP="000254D6">
      <w:pPr>
        <w:pStyle w:val="NoSpacing"/>
        <w:rPr>
          <w:rFonts w:asciiTheme="minorHAnsi" w:hAnsiTheme="minorHAnsi" w:cstheme="minorHAnsi"/>
          <w:b/>
          <w:szCs w:val="24"/>
        </w:rPr>
      </w:pPr>
      <w:r w:rsidRPr="00632107">
        <w:rPr>
          <w:rFonts w:asciiTheme="minorHAnsi" w:hAnsiTheme="minorHAnsi" w:cstheme="minorHAnsi"/>
          <w:szCs w:val="24"/>
        </w:rPr>
        <w:lastRenderedPageBreak/>
        <w:t>Japan’s need is not so great that it</w:t>
      </w:r>
      <w:r w:rsidR="005578D7">
        <w:rPr>
          <w:rFonts w:asciiTheme="minorHAnsi" w:hAnsiTheme="minorHAnsi" w:cstheme="minorHAnsi"/>
          <w:szCs w:val="24"/>
        </w:rPr>
        <w:t xml:space="preserve">s own forests will be logged. </w:t>
      </w:r>
      <w:r w:rsidRPr="00632107">
        <w:rPr>
          <w:rFonts w:asciiTheme="minorHAnsi" w:hAnsiTheme="minorHAnsi" w:cstheme="minorHAnsi"/>
          <w:szCs w:val="24"/>
        </w:rPr>
        <w:t>It is similar with China</w:t>
      </w:r>
      <w:r w:rsidR="00660F44">
        <w:rPr>
          <w:rFonts w:asciiTheme="minorHAnsi" w:hAnsiTheme="minorHAnsi" w:cstheme="minorHAnsi"/>
          <w:szCs w:val="24"/>
        </w:rPr>
        <w:t>,</w:t>
      </w:r>
      <w:r w:rsidRPr="00632107">
        <w:rPr>
          <w:rFonts w:asciiTheme="minorHAnsi" w:hAnsiTheme="minorHAnsi" w:cstheme="minorHAnsi"/>
          <w:szCs w:val="24"/>
        </w:rPr>
        <w:t xml:space="preserve"> which</w:t>
      </w:r>
      <w:r w:rsidR="0095621D">
        <w:rPr>
          <w:rFonts w:asciiTheme="minorHAnsi" w:hAnsiTheme="minorHAnsi" w:cstheme="minorHAnsi"/>
          <w:szCs w:val="24"/>
        </w:rPr>
        <w:t>,</w:t>
      </w:r>
      <w:r w:rsidRPr="00632107">
        <w:rPr>
          <w:rFonts w:asciiTheme="minorHAnsi" w:hAnsiTheme="minorHAnsi" w:cstheme="minorHAnsi"/>
          <w:szCs w:val="24"/>
        </w:rPr>
        <w:t xml:space="preserve"> </w:t>
      </w:r>
      <w:r w:rsidR="0095621D">
        <w:rPr>
          <w:rFonts w:asciiTheme="minorHAnsi" w:hAnsiTheme="minorHAnsi" w:cstheme="minorHAnsi"/>
          <w:szCs w:val="24"/>
        </w:rPr>
        <w:t>while importing</w:t>
      </w:r>
      <w:r w:rsidR="00660F44">
        <w:rPr>
          <w:rFonts w:asciiTheme="minorHAnsi" w:hAnsiTheme="minorHAnsi" w:cstheme="minorHAnsi"/>
          <w:szCs w:val="24"/>
        </w:rPr>
        <w:t xml:space="preserve"> </w:t>
      </w:r>
      <w:r w:rsidRPr="00632107">
        <w:rPr>
          <w:rFonts w:asciiTheme="minorHAnsi" w:hAnsiTheme="minorHAnsi" w:cstheme="minorHAnsi"/>
          <w:szCs w:val="24"/>
        </w:rPr>
        <w:t>most Australian wood</w:t>
      </w:r>
      <w:r w:rsidR="00660F44">
        <w:rPr>
          <w:rFonts w:asciiTheme="minorHAnsi" w:hAnsiTheme="minorHAnsi" w:cstheme="minorHAnsi"/>
          <w:szCs w:val="24"/>
        </w:rPr>
        <w:t>,</w:t>
      </w:r>
      <w:r w:rsidRPr="00632107">
        <w:rPr>
          <w:rFonts w:asciiTheme="minorHAnsi" w:hAnsiTheme="minorHAnsi" w:cstheme="minorHAnsi"/>
          <w:szCs w:val="24"/>
        </w:rPr>
        <w:t xml:space="preserve"> will</w:t>
      </w:r>
      <w:r w:rsidR="0095621D">
        <w:rPr>
          <w:rFonts w:asciiTheme="minorHAnsi" w:hAnsiTheme="minorHAnsi" w:cstheme="minorHAnsi"/>
          <w:szCs w:val="24"/>
        </w:rPr>
        <w:t xml:space="preserve">, as of 2020, </w:t>
      </w:r>
      <w:r w:rsidRPr="00632107">
        <w:rPr>
          <w:rFonts w:asciiTheme="minorHAnsi" w:hAnsiTheme="minorHAnsi" w:cstheme="minorHAnsi"/>
          <w:szCs w:val="24"/>
        </w:rPr>
        <w:t>cease logging its own native forests.</w:t>
      </w:r>
    </w:p>
    <w:p w:rsidR="000254D6" w:rsidRPr="00632107" w:rsidRDefault="000254D6" w:rsidP="000254D6">
      <w:pPr>
        <w:pStyle w:val="NoSpacing"/>
        <w:rPr>
          <w:rFonts w:asciiTheme="minorHAnsi" w:hAnsiTheme="minorHAnsi" w:cstheme="minorHAnsi"/>
          <w:szCs w:val="24"/>
        </w:rPr>
      </w:pPr>
    </w:p>
    <w:p w:rsidR="005578D7" w:rsidRDefault="00977134" w:rsidP="000254D6">
      <w:pPr>
        <w:pStyle w:val="NoSpacing"/>
        <w:rPr>
          <w:rFonts w:asciiTheme="minorHAnsi" w:hAnsiTheme="minorHAnsi" w:cstheme="minorHAnsi"/>
          <w:b/>
          <w:szCs w:val="24"/>
        </w:rPr>
      </w:pPr>
      <w:r>
        <w:rPr>
          <w:rFonts w:asciiTheme="minorHAnsi" w:hAnsiTheme="minorHAnsi" w:cstheme="minorHAnsi"/>
          <w:b/>
          <w:szCs w:val="24"/>
        </w:rPr>
        <w:t xml:space="preserve">5. </w:t>
      </w:r>
      <w:r w:rsidR="000254D6" w:rsidRPr="00632107">
        <w:rPr>
          <w:rFonts w:asciiTheme="minorHAnsi" w:hAnsiTheme="minorHAnsi" w:cstheme="minorHAnsi"/>
          <w:b/>
          <w:szCs w:val="24"/>
        </w:rPr>
        <w:t xml:space="preserve">Native Based Solutions: </w:t>
      </w:r>
      <w:r w:rsidR="00C97714">
        <w:rPr>
          <w:rFonts w:asciiTheme="minorHAnsi" w:hAnsiTheme="minorHAnsi" w:cstheme="minorHAnsi"/>
          <w:b/>
          <w:szCs w:val="24"/>
        </w:rPr>
        <w:t xml:space="preserve">as </w:t>
      </w:r>
      <w:r w:rsidR="000254D6" w:rsidRPr="00632107">
        <w:rPr>
          <w:rFonts w:asciiTheme="minorHAnsi" w:hAnsiTheme="minorHAnsi" w:cstheme="minorHAnsi"/>
          <w:b/>
          <w:szCs w:val="24"/>
        </w:rPr>
        <w:t>native forest</w:t>
      </w:r>
      <w:r w:rsidR="00C97714">
        <w:rPr>
          <w:rFonts w:asciiTheme="minorHAnsi" w:hAnsiTheme="minorHAnsi" w:cstheme="minorHAnsi"/>
          <w:b/>
          <w:szCs w:val="24"/>
        </w:rPr>
        <w:t>s</w:t>
      </w:r>
      <w:r w:rsidR="000254D6" w:rsidRPr="00632107">
        <w:rPr>
          <w:rFonts w:asciiTheme="minorHAnsi" w:hAnsiTheme="minorHAnsi" w:cstheme="minorHAnsi"/>
          <w:b/>
          <w:szCs w:val="24"/>
        </w:rPr>
        <w:t xml:space="preserve"> and woodlands</w:t>
      </w:r>
      <w:r w:rsidR="005578D7">
        <w:rPr>
          <w:rFonts w:asciiTheme="minorHAnsi" w:hAnsiTheme="minorHAnsi" w:cstheme="minorHAnsi"/>
          <w:b/>
          <w:szCs w:val="24"/>
        </w:rPr>
        <w:t xml:space="preserve"> are </w:t>
      </w:r>
      <w:r w:rsidR="000254D6" w:rsidRPr="00632107">
        <w:rPr>
          <w:rFonts w:asciiTheme="minorHAnsi" w:hAnsiTheme="minorHAnsi" w:cstheme="minorHAnsi"/>
          <w:b/>
          <w:szCs w:val="24"/>
        </w:rPr>
        <w:t xml:space="preserve">critical to </w:t>
      </w:r>
      <w:r>
        <w:rPr>
          <w:rFonts w:asciiTheme="minorHAnsi" w:hAnsiTheme="minorHAnsi" w:cstheme="minorHAnsi"/>
          <w:b/>
          <w:szCs w:val="24"/>
        </w:rPr>
        <w:t xml:space="preserve">sequester </w:t>
      </w:r>
      <w:r w:rsidR="000254D6" w:rsidRPr="00632107">
        <w:rPr>
          <w:rFonts w:asciiTheme="minorHAnsi" w:hAnsiTheme="minorHAnsi" w:cstheme="minorHAnsi"/>
          <w:b/>
          <w:szCs w:val="24"/>
        </w:rPr>
        <w:t>carbon</w:t>
      </w:r>
      <w:r w:rsidR="005578D7">
        <w:rPr>
          <w:rFonts w:asciiTheme="minorHAnsi" w:hAnsiTheme="minorHAnsi" w:cstheme="minorHAnsi"/>
          <w:b/>
          <w:szCs w:val="24"/>
        </w:rPr>
        <w:t xml:space="preserve"> </w:t>
      </w:r>
      <w:r w:rsidR="00C97714">
        <w:rPr>
          <w:rFonts w:asciiTheme="minorHAnsi" w:hAnsiTheme="minorHAnsi" w:cstheme="minorHAnsi"/>
          <w:b/>
          <w:szCs w:val="24"/>
        </w:rPr>
        <w:t xml:space="preserve">they must </w:t>
      </w:r>
      <w:r w:rsidR="000254D6" w:rsidRPr="00632107">
        <w:rPr>
          <w:rFonts w:asciiTheme="minorHAnsi" w:hAnsiTheme="minorHAnsi" w:cstheme="minorHAnsi"/>
          <w:b/>
          <w:szCs w:val="24"/>
        </w:rPr>
        <w:t>be protected</w:t>
      </w:r>
      <w:r w:rsidR="005578D7">
        <w:rPr>
          <w:rFonts w:asciiTheme="minorHAnsi" w:hAnsiTheme="minorHAnsi" w:cstheme="minorHAnsi"/>
          <w:b/>
          <w:szCs w:val="24"/>
        </w:rPr>
        <w:t xml:space="preserve">. </w:t>
      </w:r>
      <w:proofErr w:type="gramStart"/>
      <w:r w:rsidR="005578D7">
        <w:rPr>
          <w:rFonts w:asciiTheme="minorHAnsi" w:hAnsiTheme="minorHAnsi" w:cstheme="minorHAnsi"/>
          <w:b/>
          <w:szCs w:val="24"/>
        </w:rPr>
        <w:t>Wh</w:t>
      </w:r>
      <w:r w:rsidR="000254D6" w:rsidRPr="00632107">
        <w:rPr>
          <w:rFonts w:asciiTheme="minorHAnsi" w:hAnsiTheme="minorHAnsi" w:cstheme="minorHAnsi"/>
          <w:b/>
          <w:szCs w:val="24"/>
        </w:rPr>
        <w:t xml:space="preserve">ere practical, ecological restoration </w:t>
      </w:r>
      <w:r w:rsidR="00C97714">
        <w:rPr>
          <w:rFonts w:asciiTheme="minorHAnsi" w:hAnsiTheme="minorHAnsi" w:cstheme="minorHAnsi"/>
          <w:b/>
          <w:szCs w:val="24"/>
        </w:rPr>
        <w:t xml:space="preserve">must occur </w:t>
      </w:r>
      <w:r w:rsidR="000254D6" w:rsidRPr="00632107">
        <w:rPr>
          <w:rFonts w:asciiTheme="minorHAnsi" w:hAnsiTheme="minorHAnsi" w:cstheme="minorHAnsi"/>
          <w:b/>
          <w:szCs w:val="24"/>
        </w:rPr>
        <w:t xml:space="preserve">to enhance forest resilience to climate change </w:t>
      </w:r>
      <w:r w:rsidR="005578D7">
        <w:rPr>
          <w:rFonts w:asciiTheme="minorHAnsi" w:hAnsiTheme="minorHAnsi" w:cstheme="minorHAnsi"/>
          <w:b/>
          <w:szCs w:val="24"/>
        </w:rPr>
        <w:t>in order that CDR from terrestrial systems can continue.</w:t>
      </w:r>
      <w:proofErr w:type="gramEnd"/>
      <w:r w:rsidR="00660F44">
        <w:rPr>
          <w:rFonts w:asciiTheme="minorHAnsi" w:hAnsiTheme="minorHAnsi" w:cstheme="minorHAnsi"/>
          <w:b/>
          <w:szCs w:val="24"/>
        </w:rPr>
        <w:t xml:space="preserve"> </w:t>
      </w:r>
    </w:p>
    <w:p w:rsidR="000254D6" w:rsidRPr="00660F44" w:rsidRDefault="000254D6" w:rsidP="000254D6">
      <w:pPr>
        <w:pStyle w:val="NoSpacing"/>
        <w:rPr>
          <w:rFonts w:asciiTheme="minorHAnsi" w:hAnsiTheme="minorHAnsi" w:cstheme="minorHAnsi"/>
          <w:b/>
          <w:szCs w:val="24"/>
        </w:rPr>
      </w:pPr>
      <w:r w:rsidRPr="00632107">
        <w:rPr>
          <w:rFonts w:asciiTheme="minorHAnsi" w:hAnsiTheme="minorHAnsi" w:cstheme="minorHAnsi"/>
          <w:szCs w:val="24"/>
        </w:rPr>
        <w:t>CDR by terrestrial systems – forests – is preferred to geo-eng</w:t>
      </w:r>
      <w:r w:rsidR="004E5F22" w:rsidRPr="00632107">
        <w:rPr>
          <w:rFonts w:asciiTheme="minorHAnsi" w:hAnsiTheme="minorHAnsi" w:cstheme="minorHAnsi"/>
          <w:szCs w:val="24"/>
        </w:rPr>
        <w:t>ineering.</w:t>
      </w:r>
      <w:r w:rsidR="004E5F22" w:rsidRPr="00632107">
        <w:rPr>
          <w:rStyle w:val="EndnoteReference"/>
          <w:rFonts w:asciiTheme="minorHAnsi" w:hAnsiTheme="minorHAnsi" w:cstheme="minorHAnsi"/>
          <w:szCs w:val="24"/>
        </w:rPr>
        <w:endnoteReference w:id="61"/>
      </w:r>
      <w:r w:rsidRPr="00632107">
        <w:rPr>
          <w:rFonts w:asciiTheme="minorHAnsi" w:hAnsiTheme="minorHAnsi" w:cstheme="minorHAnsi"/>
          <w:szCs w:val="24"/>
        </w:rPr>
        <w:t xml:space="preserve">  The most ecologically sound, economical, and scalable ways to accomplish (increasing carbon uptake on land) are by protecting and enh</w:t>
      </w:r>
      <w:r w:rsidR="004E5F22" w:rsidRPr="00632107">
        <w:rPr>
          <w:rFonts w:asciiTheme="minorHAnsi" w:hAnsiTheme="minorHAnsi" w:cstheme="minorHAnsi"/>
          <w:szCs w:val="24"/>
        </w:rPr>
        <w:t>ancing natural climate sinks.”</w:t>
      </w:r>
      <w:r w:rsidR="002E2CA6" w:rsidRPr="00632107">
        <w:rPr>
          <w:rFonts w:asciiTheme="minorHAnsi" w:hAnsiTheme="minorHAnsi" w:cstheme="minorHAnsi"/>
          <w:szCs w:val="24"/>
        </w:rPr>
        <w:t xml:space="preserve"> </w:t>
      </w:r>
      <w:r w:rsidR="004E5F22" w:rsidRPr="00632107">
        <w:rPr>
          <w:rStyle w:val="EndnoteReference"/>
          <w:rFonts w:asciiTheme="minorHAnsi" w:hAnsiTheme="minorHAnsi" w:cstheme="minorHAnsi"/>
          <w:szCs w:val="24"/>
        </w:rPr>
        <w:endnoteReference w:id="62"/>
      </w:r>
      <w:r w:rsidRPr="00632107">
        <w:rPr>
          <w:rFonts w:asciiTheme="minorHAnsi" w:hAnsiTheme="minorHAnsi" w:cstheme="minorHAnsi"/>
          <w:szCs w:val="24"/>
        </w:rPr>
        <w:t xml:space="preserve">  Protection of natural (native) forests from logging induced degradation will promote resili</w:t>
      </w:r>
      <w:r w:rsidR="004E5F22" w:rsidRPr="00632107">
        <w:rPr>
          <w:rFonts w:asciiTheme="minorHAnsi" w:hAnsiTheme="minorHAnsi" w:cstheme="minorHAnsi"/>
          <w:szCs w:val="24"/>
        </w:rPr>
        <w:t>ence to climate change impact.</w:t>
      </w:r>
      <w:r w:rsidR="004E5F22" w:rsidRPr="00632107">
        <w:rPr>
          <w:rStyle w:val="EndnoteReference"/>
          <w:rFonts w:asciiTheme="minorHAnsi" w:hAnsiTheme="minorHAnsi" w:cstheme="minorHAnsi"/>
          <w:szCs w:val="24"/>
        </w:rPr>
        <w:endnoteReference w:id="63"/>
      </w:r>
      <w:r w:rsidRPr="00632107">
        <w:rPr>
          <w:rFonts w:asciiTheme="minorHAnsi" w:hAnsiTheme="minorHAnsi" w:cstheme="minorHAnsi"/>
          <w:szCs w:val="24"/>
        </w:rPr>
        <w:t xml:space="preserve">  Where practical, resilience should be enhanced by ecological </w:t>
      </w:r>
      <w:r w:rsidR="004E5F22" w:rsidRPr="00632107">
        <w:rPr>
          <w:rFonts w:asciiTheme="minorHAnsi" w:hAnsiTheme="minorHAnsi" w:cstheme="minorHAnsi"/>
          <w:szCs w:val="24"/>
        </w:rPr>
        <w:t>restoration.</w:t>
      </w:r>
      <w:r w:rsidR="004E5F22" w:rsidRPr="00632107">
        <w:rPr>
          <w:rStyle w:val="EndnoteReference"/>
          <w:rFonts w:asciiTheme="minorHAnsi" w:hAnsiTheme="minorHAnsi" w:cstheme="minorHAnsi"/>
          <w:szCs w:val="24"/>
        </w:rPr>
        <w:endnoteReference w:id="64"/>
      </w:r>
      <w:r w:rsidR="004E5F22" w:rsidRPr="00632107">
        <w:rPr>
          <w:rFonts w:asciiTheme="minorHAnsi" w:hAnsiTheme="minorHAnsi" w:cstheme="minorHAnsi"/>
          <w:szCs w:val="24"/>
        </w:rPr>
        <w:t xml:space="preserve">  Natural Solutions</w:t>
      </w:r>
      <w:r w:rsidR="002E2CA6" w:rsidRPr="00632107">
        <w:rPr>
          <w:rFonts w:asciiTheme="minorHAnsi" w:hAnsiTheme="minorHAnsi" w:cstheme="minorHAnsi"/>
          <w:szCs w:val="24"/>
        </w:rPr>
        <w:t xml:space="preserve"> </w:t>
      </w:r>
      <w:r w:rsidR="004E5F22" w:rsidRPr="00632107">
        <w:rPr>
          <w:rStyle w:val="EndnoteReference"/>
          <w:rFonts w:asciiTheme="minorHAnsi" w:hAnsiTheme="minorHAnsi" w:cstheme="minorHAnsi"/>
          <w:szCs w:val="24"/>
        </w:rPr>
        <w:endnoteReference w:id="65"/>
      </w:r>
      <w:r w:rsidRPr="00632107">
        <w:rPr>
          <w:rFonts w:asciiTheme="minorHAnsi" w:hAnsiTheme="minorHAnsi" w:cstheme="minorHAnsi"/>
          <w:szCs w:val="24"/>
        </w:rPr>
        <w:t xml:space="preserve"> for CDR is on the agenda of the UN Secretary General Summit meeting September 2019 as the best strategy to dra</w:t>
      </w:r>
      <w:r w:rsidR="002E2CA6" w:rsidRPr="00632107">
        <w:rPr>
          <w:rFonts w:asciiTheme="minorHAnsi" w:hAnsiTheme="minorHAnsi" w:cstheme="minorHAnsi"/>
          <w:szCs w:val="24"/>
        </w:rPr>
        <w:t>w down atmospheric carbon.</w:t>
      </w:r>
      <w:r w:rsidR="002E2CA6" w:rsidRPr="00632107">
        <w:rPr>
          <w:rStyle w:val="EndnoteReference"/>
          <w:rFonts w:asciiTheme="minorHAnsi" w:hAnsiTheme="minorHAnsi" w:cstheme="minorHAnsi"/>
          <w:szCs w:val="24"/>
        </w:rPr>
        <w:endnoteReference w:id="66"/>
      </w:r>
    </w:p>
    <w:p w:rsidR="00814BD4" w:rsidRDefault="00814BD4" w:rsidP="000254D6">
      <w:pPr>
        <w:pStyle w:val="NoSpacing"/>
        <w:rPr>
          <w:rFonts w:asciiTheme="minorHAnsi" w:hAnsiTheme="minorHAnsi" w:cstheme="minorHAnsi"/>
          <w:szCs w:val="24"/>
        </w:rPr>
        <w:sectPr w:rsidR="00814BD4" w:rsidSect="00116CA3">
          <w:endnotePr>
            <w:numFmt w:val="decimal"/>
          </w:endnotePr>
          <w:type w:val="continuous"/>
          <w:pgSz w:w="11906" w:h="16838"/>
          <w:pgMar w:top="1440" w:right="1080" w:bottom="1440" w:left="1080" w:header="708" w:footer="708" w:gutter="0"/>
          <w:cols w:space="708"/>
          <w:docGrid w:linePitch="360"/>
        </w:sectPr>
      </w:pPr>
    </w:p>
    <w:p w:rsidR="000254D6" w:rsidRPr="00632107" w:rsidRDefault="000254D6" w:rsidP="000254D6">
      <w:pPr>
        <w:pStyle w:val="NoSpacing"/>
        <w:rPr>
          <w:rFonts w:asciiTheme="minorHAnsi" w:hAnsiTheme="minorHAnsi" w:cstheme="minorHAnsi"/>
          <w:szCs w:val="24"/>
        </w:rPr>
      </w:pPr>
    </w:p>
    <w:p w:rsidR="00C97714" w:rsidRDefault="00C97714" w:rsidP="000254D6">
      <w:pPr>
        <w:pStyle w:val="NoSpacing"/>
        <w:rPr>
          <w:rFonts w:asciiTheme="minorHAnsi" w:hAnsiTheme="minorHAnsi" w:cstheme="minorHAnsi"/>
          <w:b/>
          <w:szCs w:val="24"/>
        </w:rPr>
        <w:sectPr w:rsidR="00C97714" w:rsidSect="00C97714">
          <w:endnotePr>
            <w:numFmt w:val="decimal"/>
          </w:endnotePr>
          <w:type w:val="continuous"/>
          <w:pgSz w:w="11906" w:h="16838"/>
          <w:pgMar w:top="1440" w:right="1080" w:bottom="1440" w:left="1080" w:header="708" w:footer="708" w:gutter="0"/>
          <w:cols w:space="708"/>
          <w:docGrid w:linePitch="360"/>
        </w:sectPr>
      </w:pPr>
    </w:p>
    <w:p w:rsidR="000254D6" w:rsidRPr="007C6409" w:rsidRDefault="007C6409" w:rsidP="000254D6">
      <w:pPr>
        <w:pStyle w:val="NoSpacing"/>
        <w:rPr>
          <w:rFonts w:asciiTheme="minorHAnsi" w:hAnsiTheme="minorHAnsi" w:cstheme="minorHAnsi"/>
          <w:b/>
          <w:szCs w:val="24"/>
        </w:rPr>
      </w:pPr>
      <w:r>
        <w:rPr>
          <w:rFonts w:asciiTheme="minorHAnsi" w:hAnsiTheme="minorHAnsi" w:cstheme="minorHAnsi"/>
          <w:b/>
          <w:szCs w:val="24"/>
        </w:rPr>
        <w:lastRenderedPageBreak/>
        <w:t>As a first priority of CDR, n</w:t>
      </w:r>
      <w:r w:rsidR="000254D6" w:rsidRPr="00632107">
        <w:rPr>
          <w:rFonts w:asciiTheme="minorHAnsi" w:hAnsiTheme="minorHAnsi" w:cstheme="minorHAnsi"/>
          <w:b/>
          <w:szCs w:val="24"/>
        </w:rPr>
        <w:t>ative forests should be protected immediately</w:t>
      </w:r>
      <w:r>
        <w:rPr>
          <w:rFonts w:asciiTheme="minorHAnsi" w:hAnsiTheme="minorHAnsi" w:cstheme="minorHAnsi"/>
          <w:b/>
          <w:szCs w:val="24"/>
        </w:rPr>
        <w:t xml:space="preserve"> </w:t>
      </w:r>
      <w:r w:rsidR="000254D6" w:rsidRPr="00632107">
        <w:rPr>
          <w:rFonts w:asciiTheme="minorHAnsi" w:hAnsiTheme="minorHAnsi" w:cstheme="minorHAnsi"/>
          <w:b/>
          <w:szCs w:val="24"/>
        </w:rPr>
        <w:t>with re-afforestation initiatives being in addition to, not instead of, native forest protection, because:</w:t>
      </w:r>
    </w:p>
    <w:p w:rsidR="000254D6" w:rsidRPr="00632107" w:rsidRDefault="000254D6" w:rsidP="00977134">
      <w:pPr>
        <w:pStyle w:val="NoSpacing"/>
        <w:numPr>
          <w:ilvl w:val="0"/>
          <w:numId w:val="8"/>
        </w:numPr>
        <w:rPr>
          <w:rFonts w:asciiTheme="minorHAnsi" w:hAnsiTheme="minorHAnsi" w:cstheme="minorHAnsi"/>
          <w:szCs w:val="24"/>
        </w:rPr>
      </w:pPr>
      <w:r w:rsidRPr="00632107">
        <w:rPr>
          <w:rFonts w:asciiTheme="minorHAnsi" w:hAnsiTheme="minorHAnsi" w:cstheme="minorHAnsi"/>
          <w:szCs w:val="24"/>
        </w:rPr>
        <w:t>The mitigation value of forest lies in the accumulated stock of ecosystem carbon, not in the short term rate of forest photosynthesis.</w:t>
      </w:r>
    </w:p>
    <w:p w:rsidR="000254D6" w:rsidRPr="00632107" w:rsidRDefault="000254D6" w:rsidP="00977134">
      <w:pPr>
        <w:pStyle w:val="NoSpacing"/>
        <w:numPr>
          <w:ilvl w:val="0"/>
          <w:numId w:val="8"/>
        </w:numPr>
        <w:rPr>
          <w:rFonts w:asciiTheme="minorHAnsi" w:hAnsiTheme="minorHAnsi" w:cstheme="minorHAnsi"/>
          <w:szCs w:val="24"/>
        </w:rPr>
      </w:pPr>
      <w:r w:rsidRPr="00632107">
        <w:rPr>
          <w:rFonts w:asciiTheme="minorHAnsi" w:hAnsiTheme="minorHAnsi" w:cstheme="minorHAnsi"/>
          <w:szCs w:val="24"/>
        </w:rPr>
        <w:t>The biodiversity of natural forests provides forest ecosystems with resilience and adaptive capacity, resulting</w:t>
      </w:r>
      <w:r w:rsidR="002E2CA6" w:rsidRPr="00632107">
        <w:rPr>
          <w:rFonts w:asciiTheme="minorHAnsi" w:hAnsiTheme="minorHAnsi" w:cstheme="minorHAnsi"/>
          <w:szCs w:val="24"/>
        </w:rPr>
        <w:t xml:space="preserve"> in more stable carbon stocks.</w:t>
      </w:r>
      <w:r w:rsidR="002E2CA6" w:rsidRPr="00632107">
        <w:rPr>
          <w:rStyle w:val="EndnoteReference"/>
          <w:rFonts w:asciiTheme="minorHAnsi" w:hAnsiTheme="minorHAnsi" w:cstheme="minorHAnsi"/>
          <w:szCs w:val="24"/>
        </w:rPr>
        <w:endnoteReference w:id="67"/>
      </w:r>
    </w:p>
    <w:p w:rsidR="000254D6" w:rsidRPr="00632107" w:rsidRDefault="000254D6" w:rsidP="000254D6">
      <w:pPr>
        <w:pStyle w:val="NoSpacing"/>
        <w:rPr>
          <w:rFonts w:asciiTheme="minorHAnsi" w:hAnsiTheme="minorHAnsi" w:cstheme="minorHAnsi"/>
          <w:szCs w:val="24"/>
        </w:rPr>
      </w:pPr>
    </w:p>
    <w:p w:rsidR="00BC556C" w:rsidRDefault="00BC556C" w:rsidP="00814BD4">
      <w:pPr>
        <w:pStyle w:val="NoSpacing"/>
        <w:rPr>
          <w:rFonts w:asciiTheme="minorHAnsi" w:hAnsiTheme="minorHAnsi" w:cstheme="minorHAnsi"/>
          <w:b/>
          <w:szCs w:val="24"/>
        </w:rPr>
        <w:sectPr w:rsidR="00BC556C" w:rsidSect="00CB763F">
          <w:endnotePr>
            <w:numFmt w:val="decimal"/>
          </w:endnotePr>
          <w:type w:val="continuous"/>
          <w:pgSz w:w="11906" w:h="16838"/>
          <w:pgMar w:top="1440" w:right="1080" w:bottom="1440" w:left="1080" w:header="708" w:footer="708" w:gutter="0"/>
          <w:cols w:space="708"/>
          <w:docGrid w:linePitch="360"/>
        </w:sectPr>
      </w:pPr>
    </w:p>
    <w:p w:rsidR="00827202" w:rsidRPr="00A01C80" w:rsidRDefault="00977134" w:rsidP="00BC556C">
      <w:pPr>
        <w:pStyle w:val="NoSpacing"/>
        <w:jc w:val="both"/>
        <w:rPr>
          <w:rFonts w:asciiTheme="minorHAnsi" w:hAnsiTheme="minorHAnsi" w:cstheme="minorHAnsi"/>
          <w:b/>
          <w:szCs w:val="24"/>
        </w:rPr>
      </w:pPr>
      <w:r>
        <w:rPr>
          <w:rFonts w:asciiTheme="minorHAnsi" w:hAnsiTheme="minorHAnsi" w:cstheme="minorHAnsi"/>
          <w:b/>
          <w:szCs w:val="24"/>
        </w:rPr>
        <w:lastRenderedPageBreak/>
        <w:t xml:space="preserve">6. </w:t>
      </w:r>
      <w:r w:rsidR="000254D6" w:rsidRPr="00632107">
        <w:rPr>
          <w:rFonts w:asciiTheme="minorHAnsi" w:hAnsiTheme="minorHAnsi" w:cstheme="minorHAnsi"/>
          <w:b/>
          <w:szCs w:val="24"/>
        </w:rPr>
        <w:t>Forest biomass energy/fuel emission accounting is flawed:</w:t>
      </w:r>
      <w:r w:rsidR="00A01C80">
        <w:rPr>
          <w:rFonts w:asciiTheme="minorHAnsi" w:hAnsiTheme="minorHAnsi" w:cstheme="minorHAnsi"/>
          <w:b/>
          <w:szCs w:val="24"/>
        </w:rPr>
        <w:t xml:space="preserve"> </w:t>
      </w:r>
      <w:bookmarkStart w:id="0" w:name="_GoBack"/>
      <w:bookmarkEnd w:id="0"/>
      <w:r w:rsidR="000254D6" w:rsidRPr="00632107">
        <w:rPr>
          <w:rFonts w:asciiTheme="minorHAnsi" w:hAnsiTheme="minorHAnsi" w:cstheme="minorHAnsi"/>
          <w:szCs w:val="24"/>
        </w:rPr>
        <w:t xml:space="preserve">If accounted for in the energy sector, bioenergy emissions could be quantified.  </w:t>
      </w:r>
      <w:r w:rsidR="007C6409">
        <w:rPr>
          <w:rFonts w:asciiTheme="minorHAnsi" w:hAnsiTheme="minorHAnsi" w:cstheme="minorHAnsi"/>
          <w:szCs w:val="24"/>
        </w:rPr>
        <w:t>R</w:t>
      </w:r>
      <w:r w:rsidR="000254D6" w:rsidRPr="00632107">
        <w:rPr>
          <w:rFonts w:asciiTheme="minorHAnsi" w:hAnsiTheme="minorHAnsi" w:cstheme="minorHAnsi"/>
          <w:szCs w:val="24"/>
        </w:rPr>
        <w:t xml:space="preserve">elegated </w:t>
      </w:r>
      <w:r w:rsidR="007265A4">
        <w:rPr>
          <w:rFonts w:asciiTheme="minorHAnsi" w:hAnsiTheme="minorHAnsi" w:cstheme="minorHAnsi"/>
          <w:szCs w:val="24"/>
        </w:rPr>
        <w:t xml:space="preserve">instead </w:t>
      </w:r>
      <w:r w:rsidR="000254D6" w:rsidRPr="00632107">
        <w:rPr>
          <w:rFonts w:asciiTheme="minorHAnsi" w:hAnsiTheme="minorHAnsi" w:cstheme="minorHAnsi"/>
          <w:szCs w:val="24"/>
        </w:rPr>
        <w:t>to the land use and land use change sector</w:t>
      </w:r>
      <w:r w:rsidR="007265A4">
        <w:rPr>
          <w:rFonts w:asciiTheme="minorHAnsi" w:hAnsiTheme="minorHAnsi" w:cstheme="minorHAnsi"/>
          <w:szCs w:val="24"/>
        </w:rPr>
        <w:t>,</w:t>
      </w:r>
      <w:r w:rsidR="000254D6" w:rsidRPr="00632107">
        <w:rPr>
          <w:rFonts w:asciiTheme="minorHAnsi" w:hAnsiTheme="minorHAnsi" w:cstheme="minorHAnsi"/>
          <w:szCs w:val="24"/>
        </w:rPr>
        <w:t xml:space="preserve"> (LULUCF)</w:t>
      </w:r>
      <w:r w:rsidR="007C6409">
        <w:rPr>
          <w:rFonts w:asciiTheme="minorHAnsi" w:hAnsiTheme="minorHAnsi" w:cstheme="minorHAnsi"/>
          <w:szCs w:val="24"/>
        </w:rPr>
        <w:t xml:space="preserve"> </w:t>
      </w:r>
      <w:r w:rsidR="00827202">
        <w:rPr>
          <w:rFonts w:asciiTheme="minorHAnsi" w:hAnsiTheme="minorHAnsi" w:cstheme="minorHAnsi"/>
          <w:szCs w:val="24"/>
        </w:rPr>
        <w:t xml:space="preserve">for </w:t>
      </w:r>
      <w:r w:rsidR="000254D6" w:rsidRPr="00632107">
        <w:rPr>
          <w:rFonts w:asciiTheme="minorHAnsi" w:hAnsiTheme="minorHAnsi" w:cstheme="minorHAnsi"/>
          <w:szCs w:val="24"/>
        </w:rPr>
        <w:t>quantification of emissions arising from deforestation or forest degradation</w:t>
      </w:r>
      <w:r w:rsidR="007C6409">
        <w:rPr>
          <w:rFonts w:asciiTheme="minorHAnsi" w:hAnsiTheme="minorHAnsi" w:cstheme="minorHAnsi"/>
          <w:szCs w:val="24"/>
        </w:rPr>
        <w:t>,</w:t>
      </w:r>
      <w:r w:rsidR="000254D6" w:rsidRPr="00632107">
        <w:rPr>
          <w:rFonts w:asciiTheme="minorHAnsi" w:hAnsiTheme="minorHAnsi" w:cstheme="minorHAnsi"/>
          <w:szCs w:val="24"/>
        </w:rPr>
        <w:t xml:space="preserve"> </w:t>
      </w:r>
      <w:r w:rsidR="007C6409">
        <w:rPr>
          <w:rFonts w:asciiTheme="minorHAnsi" w:hAnsiTheme="minorHAnsi" w:cstheme="minorHAnsi"/>
          <w:szCs w:val="24"/>
        </w:rPr>
        <w:t>which latter is driven by</w:t>
      </w:r>
      <w:r w:rsidR="007265A4">
        <w:rPr>
          <w:rFonts w:asciiTheme="minorHAnsi" w:hAnsiTheme="minorHAnsi" w:cstheme="minorHAnsi"/>
          <w:szCs w:val="24"/>
        </w:rPr>
        <w:t xml:space="preserve"> provision of </w:t>
      </w:r>
      <w:r w:rsidR="007C6409">
        <w:rPr>
          <w:rFonts w:asciiTheme="minorHAnsi" w:hAnsiTheme="minorHAnsi" w:cstheme="minorHAnsi"/>
          <w:szCs w:val="24"/>
        </w:rPr>
        <w:t xml:space="preserve">biomass feedstock, the </w:t>
      </w:r>
      <w:r w:rsidR="00827202">
        <w:rPr>
          <w:rFonts w:asciiTheme="minorHAnsi" w:hAnsiTheme="minorHAnsi" w:cstheme="minorHAnsi"/>
          <w:szCs w:val="24"/>
        </w:rPr>
        <w:t xml:space="preserve">real </w:t>
      </w:r>
      <w:r w:rsidR="000254D6" w:rsidRPr="00632107">
        <w:rPr>
          <w:rFonts w:asciiTheme="minorHAnsi" w:hAnsiTheme="minorHAnsi" w:cstheme="minorHAnsi"/>
          <w:szCs w:val="24"/>
        </w:rPr>
        <w:t xml:space="preserve">emission impact </w:t>
      </w:r>
      <w:r w:rsidR="007C6409">
        <w:rPr>
          <w:rFonts w:asciiTheme="minorHAnsi" w:hAnsiTheme="minorHAnsi" w:cstheme="minorHAnsi"/>
          <w:szCs w:val="24"/>
        </w:rPr>
        <w:t xml:space="preserve">is </w:t>
      </w:r>
      <w:r w:rsidR="000254D6" w:rsidRPr="00632107">
        <w:rPr>
          <w:rFonts w:asciiTheme="minorHAnsi" w:hAnsiTheme="minorHAnsi" w:cstheme="minorHAnsi"/>
          <w:szCs w:val="24"/>
        </w:rPr>
        <w:t>o</w:t>
      </w:r>
      <w:r w:rsidR="002E2CA6" w:rsidRPr="00632107">
        <w:rPr>
          <w:rFonts w:asciiTheme="minorHAnsi" w:hAnsiTheme="minorHAnsi" w:cstheme="minorHAnsi"/>
          <w:szCs w:val="24"/>
        </w:rPr>
        <w:t>bscured, minimised or hidden.</w:t>
      </w:r>
      <w:r w:rsidR="002E2CA6" w:rsidRPr="00632107">
        <w:rPr>
          <w:rStyle w:val="EndnoteReference"/>
          <w:rFonts w:asciiTheme="minorHAnsi" w:hAnsiTheme="minorHAnsi" w:cstheme="minorHAnsi"/>
          <w:szCs w:val="24"/>
        </w:rPr>
        <w:endnoteReference w:id="68"/>
      </w:r>
      <w:r w:rsidR="002E2CA6" w:rsidRPr="00632107">
        <w:rPr>
          <w:rFonts w:asciiTheme="minorHAnsi" w:hAnsiTheme="minorHAnsi" w:cstheme="minorHAnsi"/>
          <w:szCs w:val="24"/>
        </w:rPr>
        <w:t xml:space="preserve"> </w:t>
      </w:r>
      <w:r w:rsidR="00827202">
        <w:rPr>
          <w:rFonts w:asciiTheme="minorHAnsi" w:hAnsiTheme="minorHAnsi" w:cstheme="minorHAnsi"/>
          <w:szCs w:val="24"/>
        </w:rPr>
        <w:t xml:space="preserve"> </w:t>
      </w:r>
      <w:r w:rsidR="007C6409">
        <w:rPr>
          <w:rFonts w:asciiTheme="minorHAnsi" w:hAnsiTheme="minorHAnsi" w:cstheme="minorHAnsi"/>
          <w:szCs w:val="24"/>
        </w:rPr>
        <w:t xml:space="preserve">Protocol </w:t>
      </w:r>
      <w:r w:rsidR="000254D6" w:rsidRPr="00632107">
        <w:rPr>
          <w:rFonts w:asciiTheme="minorHAnsi" w:hAnsiTheme="minorHAnsi" w:cstheme="minorHAnsi"/>
          <w:szCs w:val="24"/>
        </w:rPr>
        <w:t xml:space="preserve">and practice for reporting deforestation and forest degradation </w:t>
      </w:r>
      <w:r w:rsidR="007C6409">
        <w:rPr>
          <w:rFonts w:asciiTheme="minorHAnsi" w:hAnsiTheme="minorHAnsi" w:cstheme="minorHAnsi"/>
          <w:szCs w:val="24"/>
        </w:rPr>
        <w:t xml:space="preserve">is not </w:t>
      </w:r>
      <w:r w:rsidR="000254D6" w:rsidRPr="00632107">
        <w:rPr>
          <w:rFonts w:asciiTheme="minorHAnsi" w:hAnsiTheme="minorHAnsi" w:cstheme="minorHAnsi"/>
          <w:szCs w:val="24"/>
        </w:rPr>
        <w:t>adequate</w:t>
      </w:r>
      <w:r w:rsidR="007C6409">
        <w:rPr>
          <w:rFonts w:asciiTheme="minorHAnsi" w:hAnsiTheme="minorHAnsi" w:cstheme="minorHAnsi"/>
          <w:szCs w:val="24"/>
        </w:rPr>
        <w:t xml:space="preserve"> and </w:t>
      </w:r>
      <w:r w:rsidR="000254D6" w:rsidRPr="00632107">
        <w:rPr>
          <w:rFonts w:asciiTheme="minorHAnsi" w:hAnsiTheme="minorHAnsi" w:cstheme="minorHAnsi"/>
          <w:szCs w:val="24"/>
        </w:rPr>
        <w:t>reporting not universal or cons</w:t>
      </w:r>
      <w:r w:rsidR="002E2CA6" w:rsidRPr="00632107">
        <w:rPr>
          <w:rFonts w:asciiTheme="minorHAnsi" w:hAnsiTheme="minorHAnsi" w:cstheme="minorHAnsi"/>
          <w:szCs w:val="24"/>
        </w:rPr>
        <w:t>istent.</w:t>
      </w:r>
      <w:r w:rsidR="002E2CA6" w:rsidRPr="00632107">
        <w:rPr>
          <w:rStyle w:val="EndnoteReference"/>
          <w:rFonts w:asciiTheme="minorHAnsi" w:hAnsiTheme="minorHAnsi" w:cstheme="minorHAnsi"/>
          <w:szCs w:val="24"/>
        </w:rPr>
        <w:endnoteReference w:id="69"/>
      </w:r>
      <w:r w:rsidR="00827202">
        <w:rPr>
          <w:rFonts w:asciiTheme="minorHAnsi" w:hAnsiTheme="minorHAnsi" w:cstheme="minorHAnsi"/>
          <w:szCs w:val="24"/>
        </w:rPr>
        <w:t xml:space="preserve"> </w:t>
      </w:r>
    </w:p>
    <w:p w:rsidR="00827202" w:rsidRDefault="00827202" w:rsidP="00BC556C">
      <w:pPr>
        <w:pStyle w:val="NoSpacing"/>
        <w:jc w:val="both"/>
        <w:rPr>
          <w:rFonts w:asciiTheme="minorHAnsi" w:hAnsiTheme="minorHAnsi" w:cstheme="minorHAnsi"/>
          <w:szCs w:val="24"/>
        </w:rPr>
      </w:pPr>
    </w:p>
    <w:p w:rsidR="000254D6" w:rsidRPr="00827202" w:rsidRDefault="000254D6" w:rsidP="00BC556C">
      <w:pPr>
        <w:pStyle w:val="NoSpacing"/>
        <w:jc w:val="both"/>
        <w:rPr>
          <w:rFonts w:asciiTheme="minorHAnsi" w:hAnsiTheme="minorHAnsi" w:cstheme="minorHAnsi"/>
          <w:szCs w:val="24"/>
        </w:rPr>
      </w:pPr>
      <w:r w:rsidRPr="00632107">
        <w:rPr>
          <w:rFonts w:asciiTheme="minorHAnsi" w:hAnsiTheme="minorHAnsi" w:cstheme="minorHAnsi"/>
          <w:szCs w:val="24"/>
        </w:rPr>
        <w:t>Exposition of forest bioenergy carbon accounting flaws has not resul</w:t>
      </w:r>
      <w:r w:rsidR="002E2CA6" w:rsidRPr="00632107">
        <w:rPr>
          <w:rFonts w:asciiTheme="minorHAnsi" w:hAnsiTheme="minorHAnsi" w:cstheme="minorHAnsi"/>
          <w:szCs w:val="24"/>
        </w:rPr>
        <w:t>ted in rectification.</w:t>
      </w:r>
      <w:r w:rsidR="002E2CA6" w:rsidRPr="00632107">
        <w:rPr>
          <w:rStyle w:val="EndnoteReference"/>
          <w:rFonts w:asciiTheme="minorHAnsi" w:hAnsiTheme="minorHAnsi" w:cstheme="minorHAnsi"/>
          <w:szCs w:val="24"/>
        </w:rPr>
        <w:endnoteReference w:id="70"/>
      </w:r>
      <w:r w:rsidRPr="00632107">
        <w:rPr>
          <w:rFonts w:asciiTheme="minorHAnsi" w:hAnsiTheme="minorHAnsi" w:cstheme="minorHAnsi"/>
          <w:szCs w:val="24"/>
        </w:rPr>
        <w:t xml:space="preserve">  Legislated loopholes continue.  The European Parliament’s 2018 renewal of its Renewable Energy Directive (RED 11) will have worse impacts on forests and</w:t>
      </w:r>
      <w:r w:rsidR="002E2CA6" w:rsidRPr="00632107">
        <w:rPr>
          <w:rFonts w:asciiTheme="minorHAnsi" w:hAnsiTheme="minorHAnsi" w:cstheme="minorHAnsi"/>
          <w:szCs w:val="24"/>
        </w:rPr>
        <w:t xml:space="preserve"> climate.</w:t>
      </w:r>
      <w:r w:rsidR="002E2CA6" w:rsidRPr="00632107">
        <w:rPr>
          <w:rStyle w:val="EndnoteReference"/>
          <w:rFonts w:asciiTheme="minorHAnsi" w:hAnsiTheme="minorHAnsi" w:cstheme="minorHAnsi"/>
          <w:szCs w:val="24"/>
        </w:rPr>
        <w:endnoteReference w:id="71"/>
      </w:r>
      <w:r w:rsidRPr="00632107">
        <w:rPr>
          <w:rFonts w:asciiTheme="minorHAnsi" w:hAnsiTheme="minorHAnsi" w:cstheme="minorHAnsi"/>
          <w:szCs w:val="24"/>
        </w:rPr>
        <w:t xml:space="preserve">  With the </w:t>
      </w:r>
      <w:r w:rsidR="00827202">
        <w:rPr>
          <w:rFonts w:asciiTheme="minorHAnsi" w:hAnsiTheme="minorHAnsi" w:cstheme="minorHAnsi"/>
          <w:szCs w:val="24"/>
        </w:rPr>
        <w:t xml:space="preserve">planned </w:t>
      </w:r>
      <w:r w:rsidRPr="00632107">
        <w:rPr>
          <w:rFonts w:asciiTheme="minorHAnsi" w:hAnsiTheme="minorHAnsi" w:cstheme="minorHAnsi"/>
          <w:szCs w:val="24"/>
        </w:rPr>
        <w:t xml:space="preserve">expansion of ‘renewables’ from 27-35 per cent came </w:t>
      </w:r>
      <w:r w:rsidR="00827202">
        <w:rPr>
          <w:rFonts w:asciiTheme="minorHAnsi" w:hAnsiTheme="minorHAnsi" w:cstheme="minorHAnsi"/>
          <w:szCs w:val="24"/>
        </w:rPr>
        <w:t>a LULUCF accounting rule change</w:t>
      </w:r>
      <w:r w:rsidRPr="00632107">
        <w:rPr>
          <w:rFonts w:asciiTheme="minorHAnsi" w:hAnsiTheme="minorHAnsi" w:cstheme="minorHAnsi"/>
          <w:szCs w:val="24"/>
        </w:rPr>
        <w:t xml:space="preserve">.  “Under these revisions, land-use change requirements would apply only to agriculture (Art. </w:t>
      </w:r>
      <w:proofErr w:type="gramStart"/>
      <w:r w:rsidRPr="00632107">
        <w:rPr>
          <w:rFonts w:asciiTheme="minorHAnsi" w:hAnsiTheme="minorHAnsi" w:cstheme="minorHAnsi"/>
          <w:szCs w:val="24"/>
        </w:rPr>
        <w:t xml:space="preserve">26.2-26.4) </w:t>
      </w:r>
      <w:r w:rsidRPr="00827202">
        <w:rPr>
          <w:rFonts w:asciiTheme="minorHAnsi" w:hAnsiTheme="minorHAnsi" w:cstheme="minorHAnsi"/>
          <w:b/>
          <w:szCs w:val="24"/>
        </w:rPr>
        <w:t>and no longer to forestry</w:t>
      </w:r>
      <w:r w:rsidRPr="00632107">
        <w:rPr>
          <w:rFonts w:asciiTheme="minorHAnsi" w:hAnsiTheme="minorHAnsi" w:cstheme="minorHAnsi"/>
          <w:szCs w:val="24"/>
        </w:rPr>
        <w:t>.</w:t>
      </w:r>
      <w:proofErr w:type="gramEnd"/>
      <w:r w:rsidRPr="00632107">
        <w:rPr>
          <w:rFonts w:asciiTheme="minorHAnsi" w:hAnsiTheme="minorHAnsi" w:cstheme="minorHAnsi"/>
          <w:szCs w:val="24"/>
        </w:rPr>
        <w:t xml:space="preserve">  Instead, new ‘sustainable’ forestry </w:t>
      </w:r>
      <w:r w:rsidRPr="00632107">
        <w:rPr>
          <w:rFonts w:asciiTheme="minorHAnsi" w:hAnsiTheme="minorHAnsi" w:cstheme="minorHAnsi"/>
          <w:szCs w:val="24"/>
        </w:rPr>
        <w:lastRenderedPageBreak/>
        <w:t>management rules with few biodiversity safeguards have been added, meaning that bioenergy produced from biomass harvested in primary forests, in high-biodiversity, non-primary forests, and in forests on peatlands, could now be sold legally as sus</w:t>
      </w:r>
      <w:r w:rsidR="002E2CA6" w:rsidRPr="00632107">
        <w:rPr>
          <w:rFonts w:asciiTheme="minorHAnsi" w:hAnsiTheme="minorHAnsi" w:cstheme="minorHAnsi"/>
          <w:szCs w:val="24"/>
        </w:rPr>
        <w:t>tainable bioenergy in Europe.”</w:t>
      </w:r>
      <w:r w:rsidR="002E2CA6" w:rsidRPr="00632107">
        <w:rPr>
          <w:rStyle w:val="EndnoteReference"/>
          <w:rFonts w:asciiTheme="minorHAnsi" w:hAnsiTheme="minorHAnsi" w:cstheme="minorHAnsi"/>
          <w:szCs w:val="24"/>
        </w:rPr>
        <w:endnoteReference w:id="72"/>
      </w:r>
      <w:r w:rsidRPr="00632107">
        <w:rPr>
          <w:rFonts w:asciiTheme="minorHAnsi" w:hAnsiTheme="minorHAnsi" w:cstheme="minorHAnsi"/>
          <w:szCs w:val="24"/>
        </w:rPr>
        <w:t xml:space="preserve">  </w:t>
      </w:r>
      <w:r w:rsidRPr="00632107">
        <w:rPr>
          <w:rFonts w:asciiTheme="minorHAnsi" w:hAnsiTheme="minorHAnsi" w:cstheme="minorHAnsi"/>
          <w:b/>
          <w:szCs w:val="24"/>
        </w:rPr>
        <w:t>This is occurring despite the fact that as large-scale bioenergy has increased in Europe, global forest degradation e</w:t>
      </w:r>
      <w:r w:rsidR="002E2CA6" w:rsidRPr="00632107">
        <w:rPr>
          <w:rFonts w:asciiTheme="minorHAnsi" w:hAnsiTheme="minorHAnsi" w:cstheme="minorHAnsi"/>
          <w:b/>
          <w:szCs w:val="24"/>
        </w:rPr>
        <w:t>missions have roughly doubled.</w:t>
      </w:r>
      <w:r w:rsidR="002E2CA6" w:rsidRPr="00632107">
        <w:rPr>
          <w:rStyle w:val="EndnoteReference"/>
          <w:rFonts w:asciiTheme="minorHAnsi" w:hAnsiTheme="minorHAnsi" w:cstheme="minorHAnsi"/>
          <w:b/>
          <w:szCs w:val="24"/>
        </w:rPr>
        <w:endnoteReference w:id="73"/>
      </w:r>
    </w:p>
    <w:p w:rsidR="00660F44" w:rsidRDefault="00660F44" w:rsidP="00BC556C">
      <w:pPr>
        <w:pStyle w:val="NoSpacing"/>
        <w:jc w:val="both"/>
        <w:rPr>
          <w:rFonts w:asciiTheme="minorHAnsi" w:hAnsiTheme="minorHAnsi" w:cstheme="minorHAnsi"/>
          <w:b/>
          <w:szCs w:val="24"/>
        </w:rPr>
      </w:pPr>
    </w:p>
    <w:p w:rsidR="000254D6" w:rsidRPr="00632107" w:rsidRDefault="00827202" w:rsidP="00BC556C">
      <w:pPr>
        <w:pStyle w:val="NoSpacing"/>
        <w:jc w:val="both"/>
        <w:rPr>
          <w:rFonts w:asciiTheme="minorHAnsi" w:hAnsiTheme="minorHAnsi" w:cstheme="minorHAnsi"/>
          <w:szCs w:val="24"/>
        </w:rPr>
      </w:pPr>
      <w:r>
        <w:rPr>
          <w:rFonts w:asciiTheme="minorHAnsi" w:hAnsiTheme="minorHAnsi" w:cstheme="minorHAnsi"/>
          <w:b/>
          <w:szCs w:val="24"/>
        </w:rPr>
        <w:t xml:space="preserve">7. </w:t>
      </w:r>
      <w:r w:rsidR="000254D6" w:rsidRPr="00632107">
        <w:rPr>
          <w:rFonts w:asciiTheme="minorHAnsi" w:hAnsiTheme="minorHAnsi" w:cstheme="minorHAnsi"/>
          <w:b/>
          <w:szCs w:val="24"/>
        </w:rPr>
        <w:t>The impact of large-scale forest derived bioenergy on land resources</w:t>
      </w:r>
      <w:r w:rsidR="000254D6" w:rsidRPr="00632107">
        <w:rPr>
          <w:rFonts w:asciiTheme="minorHAnsi" w:hAnsiTheme="minorHAnsi" w:cstheme="minorHAnsi"/>
          <w:szCs w:val="24"/>
        </w:rPr>
        <w:t>.</w:t>
      </w:r>
    </w:p>
    <w:p w:rsidR="000254D6" w:rsidRPr="00632107" w:rsidRDefault="000254D6" w:rsidP="00BC556C">
      <w:pPr>
        <w:pStyle w:val="NoSpacing"/>
        <w:jc w:val="both"/>
        <w:rPr>
          <w:rFonts w:asciiTheme="minorHAnsi" w:hAnsiTheme="minorHAnsi" w:cstheme="minorHAnsi"/>
          <w:szCs w:val="24"/>
        </w:rPr>
      </w:pPr>
      <w:r w:rsidRPr="00632107">
        <w:rPr>
          <w:rFonts w:asciiTheme="minorHAnsi" w:hAnsiTheme="minorHAnsi" w:cstheme="minorHAnsi"/>
          <w:szCs w:val="24"/>
        </w:rPr>
        <w:t>Despite combustion emissions, forest biomass as ‘renewable’ energy in Europe has expanded rapidly this century to provide approximately half Europe’s ‘renewable’ energy with most of the for</w:t>
      </w:r>
      <w:r w:rsidR="002E2CA6" w:rsidRPr="00632107">
        <w:rPr>
          <w:rFonts w:asciiTheme="minorHAnsi" w:hAnsiTheme="minorHAnsi" w:cstheme="minorHAnsi"/>
          <w:szCs w:val="24"/>
        </w:rPr>
        <w:t>est biomass from U.S. forests.</w:t>
      </w:r>
      <w:r w:rsidR="002E2CA6" w:rsidRPr="00632107">
        <w:rPr>
          <w:rStyle w:val="EndnoteReference"/>
          <w:rFonts w:asciiTheme="minorHAnsi" w:hAnsiTheme="minorHAnsi" w:cstheme="minorHAnsi"/>
          <w:szCs w:val="24"/>
        </w:rPr>
        <w:endnoteReference w:id="74"/>
      </w:r>
      <w:r w:rsidRPr="00632107">
        <w:rPr>
          <w:rFonts w:asciiTheme="minorHAnsi" w:hAnsiTheme="minorHAnsi" w:cstheme="minorHAnsi"/>
          <w:szCs w:val="24"/>
        </w:rPr>
        <w:t xml:space="preserve">  In 15 years U.S. wood pellet exports increased from nil to 4.6 million tonnes.  The 2017 European directive to double European (forest biomass derived) energy by 2030 would see Europe consuming a forest biomass quantity greater than the combined 2017 European harvest.  Resulting (real) emissions would see a </w:t>
      </w:r>
      <w:r w:rsidRPr="00632107">
        <w:rPr>
          <w:rFonts w:asciiTheme="minorHAnsi" w:hAnsiTheme="minorHAnsi" w:cstheme="minorHAnsi"/>
          <w:szCs w:val="24"/>
        </w:rPr>
        <w:lastRenderedPageBreak/>
        <w:t>proposed 6 per cent emission decrease become a 6 per cent emission increase by 2050.  To supply only 3 per cent more global energy, the world would have to double</w:t>
      </w:r>
      <w:r w:rsidR="002E2CA6" w:rsidRPr="00632107">
        <w:rPr>
          <w:rFonts w:asciiTheme="minorHAnsi" w:hAnsiTheme="minorHAnsi" w:cstheme="minorHAnsi"/>
          <w:szCs w:val="24"/>
        </w:rPr>
        <w:t xml:space="preserve"> its commercial wood harvests.</w:t>
      </w:r>
      <w:r w:rsidR="002E2CA6" w:rsidRPr="00632107">
        <w:rPr>
          <w:rStyle w:val="EndnoteReference"/>
          <w:rFonts w:asciiTheme="minorHAnsi" w:hAnsiTheme="minorHAnsi" w:cstheme="minorHAnsi"/>
          <w:szCs w:val="24"/>
        </w:rPr>
        <w:endnoteReference w:id="75"/>
      </w:r>
      <w:r w:rsidRPr="00632107">
        <w:rPr>
          <w:rFonts w:asciiTheme="minorHAnsi" w:hAnsiTheme="minorHAnsi" w:cstheme="minorHAnsi"/>
          <w:szCs w:val="24"/>
        </w:rPr>
        <w:t xml:space="preserve">  Land habitat for biodiversity would be severely impacted, at a time when that area requires expansion and protection. Huge areas of land already required for global food supply would be </w:t>
      </w:r>
      <w:r w:rsidRPr="00632107">
        <w:rPr>
          <w:rFonts w:asciiTheme="minorHAnsi" w:hAnsiTheme="minorHAnsi" w:cstheme="minorHAnsi"/>
          <w:szCs w:val="24"/>
        </w:rPr>
        <w:lastRenderedPageBreak/>
        <w:t xml:space="preserve">alienated.  </w:t>
      </w:r>
      <w:r w:rsidR="00CC042A">
        <w:rPr>
          <w:rFonts w:asciiTheme="minorHAnsi" w:hAnsiTheme="minorHAnsi" w:cstheme="minorHAnsi"/>
          <w:szCs w:val="24"/>
        </w:rPr>
        <w:t>A media release promoting forest bioenergy as a climate change solution issued May 2019 suggests a third of UK will need to be converted to plantations for biomass crops, ignoring the fact that burning them will immediately emit CO2 to atmosphere.</w:t>
      </w:r>
      <w:r w:rsidR="00CC042A">
        <w:rPr>
          <w:rStyle w:val="EndnoteReference"/>
          <w:rFonts w:asciiTheme="minorHAnsi" w:hAnsiTheme="minorHAnsi" w:cstheme="minorHAnsi"/>
          <w:szCs w:val="24"/>
        </w:rPr>
        <w:endnoteReference w:id="76"/>
      </w:r>
      <w:r w:rsidR="00CC042A">
        <w:rPr>
          <w:rFonts w:asciiTheme="minorHAnsi" w:hAnsiTheme="minorHAnsi" w:cstheme="minorHAnsi"/>
          <w:szCs w:val="24"/>
        </w:rPr>
        <w:t xml:space="preserve"> </w:t>
      </w:r>
      <w:r w:rsidRPr="00632107">
        <w:rPr>
          <w:rFonts w:asciiTheme="minorHAnsi" w:hAnsiTheme="minorHAnsi" w:cstheme="minorHAnsi"/>
          <w:szCs w:val="24"/>
        </w:rPr>
        <w:t>The IPCC has also acknowledged the difficult</w:t>
      </w:r>
      <w:r w:rsidR="002E2CA6" w:rsidRPr="00632107">
        <w:rPr>
          <w:rFonts w:asciiTheme="minorHAnsi" w:hAnsiTheme="minorHAnsi" w:cstheme="minorHAnsi"/>
          <w:szCs w:val="24"/>
        </w:rPr>
        <w:t>ies of a bioenergy CDR agenda.</w:t>
      </w:r>
      <w:r w:rsidR="002E2CA6" w:rsidRPr="00632107">
        <w:rPr>
          <w:rStyle w:val="EndnoteReference"/>
          <w:rFonts w:asciiTheme="minorHAnsi" w:hAnsiTheme="minorHAnsi" w:cstheme="minorHAnsi"/>
          <w:szCs w:val="24"/>
        </w:rPr>
        <w:endnoteReference w:id="77"/>
      </w:r>
    </w:p>
    <w:p w:rsidR="00BC556C" w:rsidRDefault="00BC556C" w:rsidP="000254D6">
      <w:pPr>
        <w:pStyle w:val="NoSpacing"/>
        <w:rPr>
          <w:rFonts w:asciiTheme="minorHAnsi" w:hAnsiTheme="minorHAnsi" w:cstheme="minorHAnsi"/>
          <w:szCs w:val="24"/>
        </w:rPr>
        <w:sectPr w:rsidR="00BC556C" w:rsidSect="00BC556C">
          <w:endnotePr>
            <w:numFmt w:val="decimal"/>
          </w:endnotePr>
          <w:type w:val="continuous"/>
          <w:pgSz w:w="11906" w:h="16838"/>
          <w:pgMar w:top="1440" w:right="1080" w:bottom="1440" w:left="1080" w:header="708" w:footer="708" w:gutter="0"/>
          <w:cols w:num="2" w:space="624"/>
          <w:docGrid w:linePitch="360"/>
        </w:sectPr>
      </w:pPr>
    </w:p>
    <w:p w:rsidR="000254D6" w:rsidRPr="00632107" w:rsidRDefault="000254D6" w:rsidP="000254D6">
      <w:pPr>
        <w:pStyle w:val="NoSpacing"/>
        <w:rPr>
          <w:rFonts w:asciiTheme="minorHAnsi" w:hAnsiTheme="minorHAnsi" w:cstheme="minorHAnsi"/>
          <w:szCs w:val="24"/>
        </w:rPr>
      </w:pPr>
    </w:p>
    <w:p w:rsidR="000254D6" w:rsidRPr="00632107" w:rsidRDefault="000254D6" w:rsidP="002B61BA">
      <w:pPr>
        <w:pStyle w:val="NoSpacing"/>
        <w:rPr>
          <w:rFonts w:asciiTheme="minorHAnsi" w:hAnsiTheme="minorHAnsi" w:cstheme="minorHAnsi"/>
          <w:szCs w:val="24"/>
        </w:rPr>
      </w:pPr>
    </w:p>
    <w:p w:rsidR="00EB5EF0" w:rsidRPr="00632107" w:rsidRDefault="00EB5EF0" w:rsidP="002B61BA">
      <w:pPr>
        <w:pStyle w:val="NoSpacing"/>
        <w:rPr>
          <w:rFonts w:asciiTheme="minorHAnsi" w:hAnsiTheme="minorHAnsi" w:cstheme="minorHAnsi"/>
          <w:szCs w:val="24"/>
        </w:rPr>
      </w:pPr>
    </w:p>
    <w:p w:rsidR="00AA21BB" w:rsidRPr="0074000F" w:rsidRDefault="00AA21BB" w:rsidP="002B61BA">
      <w:pPr>
        <w:pStyle w:val="NoSpacing"/>
        <w:rPr>
          <w:rFonts w:asciiTheme="minorHAnsi" w:hAnsiTheme="minorHAnsi" w:cstheme="minorHAnsi"/>
        </w:rPr>
      </w:pPr>
    </w:p>
    <w:sectPr w:rsidR="00AA21BB" w:rsidRPr="0074000F" w:rsidSect="00CB763F">
      <w:endnotePr>
        <w:numFmt w:val="decimal"/>
      </w:endnotePr>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40" w:rsidRDefault="001D0940" w:rsidP="00E81AB4">
      <w:pPr>
        <w:spacing w:after="0"/>
      </w:pPr>
      <w:r>
        <w:separator/>
      </w:r>
    </w:p>
  </w:endnote>
  <w:endnote w:type="continuationSeparator" w:id="0">
    <w:p w:rsidR="001D0940" w:rsidRDefault="001D0940" w:rsidP="00E81AB4">
      <w:pPr>
        <w:spacing w:after="0"/>
      </w:pPr>
      <w:r>
        <w:continuationSeparator/>
      </w:r>
    </w:p>
  </w:endnote>
  <w:endnote w:id="1">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783C77" w:rsidRPr="00766771">
        <w:rPr>
          <w:rFonts w:asciiTheme="majorHAnsi" w:hAnsiTheme="majorHAnsi"/>
          <w:sz w:val="22"/>
          <w:szCs w:val="22"/>
        </w:rPr>
        <w:t xml:space="preserve">The Paris Agreement emphasises “holding the increase in the global average temperature to well below 2°C above pre-industrial levels and pursuing efforts to limit the temperature increase to 1.5°C”. Experience of global warming impacts has led to categories of danger: “dangerous” (1-2°C </w:t>
      </w:r>
      <w:proofErr w:type="gramStart"/>
      <w:r w:rsidR="00783C77" w:rsidRPr="00766771">
        <w:rPr>
          <w:rFonts w:asciiTheme="majorHAnsi" w:hAnsiTheme="majorHAnsi"/>
          <w:sz w:val="22"/>
          <w:szCs w:val="22"/>
        </w:rPr>
        <w:t>band</w:t>
      </w:r>
      <w:proofErr w:type="gramEnd"/>
      <w:r w:rsidR="00783C77" w:rsidRPr="00766771">
        <w:rPr>
          <w:rFonts w:asciiTheme="majorHAnsi" w:hAnsiTheme="majorHAnsi"/>
          <w:sz w:val="22"/>
          <w:szCs w:val="22"/>
        </w:rPr>
        <w:t>) and “extremely dangerous” (above 2°C).  Spratt, David and Dunlop, Ian, What Lies Beneath: The Understatement of Existential Climate Risk, 2018, Melbourne, Australia</w:t>
      </w:r>
    </w:p>
  </w:endnote>
  <w:endnote w:id="2">
    <w:p w:rsidR="0054353F" w:rsidRPr="00766771" w:rsidRDefault="00E81AB4" w:rsidP="0054353F">
      <w:pPr>
        <w:pStyle w:val="9Endnote"/>
        <w:rPr>
          <w:rFonts w:asciiTheme="majorHAnsi" w:hAnsiTheme="majorHAnsi"/>
          <w:szCs w:val="22"/>
        </w:rPr>
      </w:pPr>
      <w:r w:rsidRPr="00766771">
        <w:rPr>
          <w:rStyle w:val="EndnoteReference"/>
          <w:rFonts w:asciiTheme="majorHAnsi" w:hAnsiTheme="majorHAnsi"/>
          <w:szCs w:val="22"/>
        </w:rPr>
        <w:endnoteRef/>
      </w:r>
      <w:r w:rsidRPr="00766771">
        <w:rPr>
          <w:rFonts w:asciiTheme="majorHAnsi" w:hAnsiTheme="majorHAnsi"/>
          <w:szCs w:val="22"/>
        </w:rPr>
        <w:t xml:space="preserve"> </w:t>
      </w:r>
      <w:r w:rsidR="0054353F" w:rsidRPr="00766771">
        <w:rPr>
          <w:rFonts w:asciiTheme="majorHAnsi" w:hAnsiTheme="majorHAnsi"/>
          <w:szCs w:val="22"/>
        </w:rPr>
        <w:t xml:space="preserve">“An expert panel recently concluded that warming would need to be limited to 1.2°C to save the Great Barrier Reef.132 That is probably too optimistic, but with a current warming trend of about 1.1°C and 2016 global average warming above 1.2°C, it also demonstrates that climate change is already dangerous”. Ibid, referring to </w:t>
      </w:r>
      <w:proofErr w:type="spellStart"/>
      <w:r w:rsidR="0054353F" w:rsidRPr="00766771">
        <w:rPr>
          <w:rFonts w:asciiTheme="majorHAnsi" w:hAnsiTheme="majorHAnsi"/>
          <w:szCs w:val="22"/>
        </w:rPr>
        <w:t>Hannam</w:t>
      </w:r>
      <w:proofErr w:type="spellEnd"/>
      <w:r w:rsidR="0054353F" w:rsidRPr="00766771">
        <w:rPr>
          <w:rFonts w:asciiTheme="majorHAnsi" w:hAnsiTheme="majorHAnsi"/>
          <w:szCs w:val="22"/>
        </w:rPr>
        <w:t>, P 2017, ‘Warming limit of 1.2 degrees needed to save Great Barrier Reef: expert panel’, The Age, 2 August 2017.</w:t>
      </w:r>
    </w:p>
    <w:p w:rsidR="00E81AB4" w:rsidRPr="00766771" w:rsidRDefault="0054353F" w:rsidP="0054353F">
      <w:pPr>
        <w:pStyle w:val="EndnoteText"/>
        <w:rPr>
          <w:rFonts w:asciiTheme="majorHAnsi" w:hAnsiTheme="majorHAnsi"/>
          <w:sz w:val="22"/>
          <w:szCs w:val="22"/>
        </w:rPr>
      </w:pPr>
      <w:r w:rsidRPr="00766771">
        <w:rPr>
          <w:rFonts w:asciiTheme="majorHAnsi" w:hAnsiTheme="majorHAnsi"/>
          <w:sz w:val="22"/>
          <w:szCs w:val="22"/>
        </w:rPr>
        <w:t>Also: “Global temperatures have risen 1°C in the era following mass industrialisation and this has directly affected Australians”. Climate Council Joint Statement: Australia Needs New Policy Effort To Get On Track To Meet Its 2030 Target, 4th March, 2019</w:t>
      </w:r>
    </w:p>
  </w:endnote>
  <w:endnote w:id="3">
    <w:p w:rsidR="00E81AB4" w:rsidRPr="00766771" w:rsidRDefault="00E81AB4" w:rsidP="00766771">
      <w:pPr>
        <w:pStyle w:val="9Endnote"/>
        <w:rPr>
          <w:rFonts w:asciiTheme="majorHAnsi" w:eastAsia="Times New Roman" w:hAnsiTheme="majorHAnsi"/>
          <w:color w:val="auto"/>
          <w:szCs w:val="22"/>
          <w:lang w:val="en-AU" w:bidi="x-none"/>
        </w:rPr>
      </w:pPr>
      <w:r w:rsidRPr="00766771">
        <w:rPr>
          <w:rStyle w:val="EndnoteReference"/>
          <w:rFonts w:asciiTheme="majorHAnsi" w:hAnsiTheme="majorHAnsi"/>
          <w:szCs w:val="22"/>
        </w:rPr>
        <w:endnoteRef/>
      </w:r>
      <w:r w:rsidRPr="00766771">
        <w:rPr>
          <w:rFonts w:asciiTheme="majorHAnsi" w:hAnsiTheme="majorHAnsi"/>
          <w:szCs w:val="22"/>
        </w:rPr>
        <w:t xml:space="preserve"> </w:t>
      </w:r>
      <w:hyperlink r:id="rId1" w:history="1">
        <w:r w:rsidR="0054353F" w:rsidRPr="00766771">
          <w:rPr>
            <w:rStyle w:val="Hyperlink1"/>
            <w:rFonts w:asciiTheme="majorHAnsi" w:hAnsiTheme="majorHAnsi"/>
            <w:sz w:val="18"/>
            <w:szCs w:val="18"/>
          </w:rPr>
          <w:t>https://www.researchgate.net/publication/326876618_Trajectories_of_the_Earth_System_in_the_Anthropocene</w:t>
        </w:r>
      </w:hyperlink>
    </w:p>
  </w:endnote>
  <w:endnote w:id="4">
    <w:p w:rsidR="00E81AB4" w:rsidRPr="00766771" w:rsidRDefault="00E81AB4" w:rsidP="00766771">
      <w:pPr>
        <w:pStyle w:val="9Endnote"/>
        <w:rPr>
          <w:rFonts w:asciiTheme="majorHAnsi" w:eastAsia="Times New Roman" w:hAnsiTheme="majorHAnsi"/>
          <w:color w:val="auto"/>
          <w:szCs w:val="22"/>
          <w:lang w:val="en-AU" w:bidi="x-none"/>
        </w:rPr>
      </w:pPr>
      <w:r w:rsidRPr="00766771">
        <w:rPr>
          <w:rStyle w:val="EndnoteReference"/>
          <w:rFonts w:asciiTheme="majorHAnsi" w:hAnsiTheme="majorHAnsi"/>
          <w:szCs w:val="22"/>
        </w:rPr>
        <w:endnoteRef/>
      </w:r>
      <w:r w:rsidRPr="00766771">
        <w:rPr>
          <w:rFonts w:asciiTheme="majorHAnsi" w:hAnsiTheme="majorHAnsi"/>
          <w:szCs w:val="22"/>
        </w:rPr>
        <w:t xml:space="preserve"> </w:t>
      </w:r>
      <w:r w:rsidR="0054353F" w:rsidRPr="00766771">
        <w:rPr>
          <w:rFonts w:asciiTheme="majorHAnsi" w:hAnsiTheme="majorHAnsi"/>
          <w:szCs w:val="22"/>
        </w:rPr>
        <w:t>Spratt, David and Dunlop, Ian, What Lies Beneath: The Understatement of Existential Climate Risk, 2018</w:t>
      </w:r>
    </w:p>
  </w:endnote>
  <w:endnote w:id="5">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4353F" w:rsidRPr="00766771">
        <w:rPr>
          <w:rFonts w:asciiTheme="majorHAnsi" w:hAnsiTheme="majorHAnsi"/>
          <w:sz w:val="22"/>
          <w:szCs w:val="22"/>
        </w:rPr>
        <w:t>Evidence is accumulating that at the current level of warming other elements could be disrupted with compounding impacts on global warming, i.e. the slowing of the Thermohaline Circulation (the Atlantic conveyor); accelerating ice-mass loss from Greenland and Antarctica; declining carbon efficiency of the Amazon forests and other sinks; and the vulnerability of Arctic permafrost stores.  Spratt, David and Dunlop, Ian, What Lies Beneath: The Understatement of Existential Climate Risk, 2018</w:t>
      </w:r>
    </w:p>
  </w:endnote>
  <w:endnote w:id="6">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4353F" w:rsidRPr="00766771">
        <w:rPr>
          <w:rFonts w:asciiTheme="majorHAnsi" w:hAnsiTheme="majorHAnsi"/>
          <w:sz w:val="22"/>
          <w:szCs w:val="22"/>
        </w:rPr>
        <w:t>A carbon budget is an estimate of greenhouse gas emissions, in tons of carbon consistent with limiting global warming to a specified figure. We have exceeded the budget for limiting warming to 2 degrees, creating a ‘carbon debt’.  To close the ‘emissions gap’, maximum draw down of atmospheric carbon is ‘non-negotiable’.</w:t>
      </w:r>
    </w:p>
  </w:endnote>
  <w:endnote w:id="7">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4353F" w:rsidRPr="00766771">
        <w:rPr>
          <w:rFonts w:asciiTheme="majorHAnsi" w:hAnsiTheme="majorHAnsi"/>
          <w:sz w:val="22"/>
          <w:szCs w:val="22"/>
        </w:rPr>
        <w:t xml:space="preserve">2019 climate modelling indicates 2018 IPCC limits understate urgency: </w:t>
      </w:r>
      <w:hyperlink r:id="rId2" w:history="1">
        <w:r w:rsidR="0054353F" w:rsidRPr="00766771">
          <w:rPr>
            <w:rStyle w:val="Hyperlink1"/>
            <w:rFonts w:asciiTheme="majorHAnsi" w:hAnsiTheme="majorHAnsi"/>
            <w:szCs w:val="22"/>
          </w:rPr>
          <w:t>https://www.nature.com/articles/s41558-019-0426-8</w:t>
        </w:r>
      </w:hyperlink>
      <w:r w:rsidR="0054353F" w:rsidRPr="00766771">
        <w:rPr>
          <w:rFonts w:asciiTheme="majorHAnsi" w:hAnsiTheme="majorHAnsi"/>
          <w:sz w:val="22"/>
          <w:szCs w:val="22"/>
        </w:rPr>
        <w:t xml:space="preserve"> but IPCC recommendations that ‘Pathways limiting global warming to 1.5°C with no or limited overshoot would require rapid and far-reaching transitions in energy, land, urban and infrastructure (including transport and buildings), and industrial systems … and imply deep emissions reductions in all sectors. </w:t>
      </w:r>
      <w:hyperlink r:id="rId3" w:history="1">
        <w:r w:rsidR="0054353F" w:rsidRPr="00766771">
          <w:rPr>
            <w:rStyle w:val="Hyperlink1"/>
            <w:rFonts w:asciiTheme="majorHAnsi" w:hAnsiTheme="majorHAnsi"/>
            <w:szCs w:val="22"/>
          </w:rPr>
          <w:t>https://www.ipcc.c/summary-for-policy-makers/</w:t>
        </w:r>
      </w:hyperlink>
      <w:r w:rsidR="0054353F" w:rsidRPr="00766771">
        <w:rPr>
          <w:rFonts w:asciiTheme="majorHAnsi" w:hAnsiTheme="majorHAnsi"/>
          <w:sz w:val="22"/>
          <w:szCs w:val="22"/>
        </w:rPr>
        <w:t xml:space="preserve"> is still true.</w:t>
      </w:r>
    </w:p>
  </w:endnote>
  <w:endnote w:id="8">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4353F" w:rsidRPr="00766771">
        <w:rPr>
          <w:rFonts w:asciiTheme="majorHAnsi" w:hAnsiTheme="majorHAnsi"/>
          <w:color w:val="000000"/>
          <w:sz w:val="22"/>
          <w:szCs w:val="22"/>
        </w:rPr>
        <w:t xml:space="preserve">More CDR is needed to restrain temperature increase.  All pathways that limit global warming to 1.5°C with limited or no </w:t>
      </w:r>
      <w:r w:rsidR="0054353F" w:rsidRPr="00766771">
        <w:rPr>
          <w:rFonts w:asciiTheme="majorHAnsi" w:hAnsiTheme="majorHAnsi"/>
          <w:sz w:val="22"/>
          <w:szCs w:val="22"/>
        </w:rPr>
        <w:t>overshoot project the use of carbon dioxide removal (CDR) on the order of 100–1000 GtCO2 over the 21st century. https://www.ipcc.c/summary-for-policy-makers/</w:t>
      </w:r>
    </w:p>
  </w:endnote>
  <w:endnote w:id="9">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4353F" w:rsidRPr="00766771">
        <w:rPr>
          <w:rFonts w:asciiTheme="majorHAnsi" w:hAnsiTheme="majorHAnsi"/>
          <w:sz w:val="22"/>
          <w:szCs w:val="22"/>
        </w:rPr>
        <w:t>Forest restoration will be practical where the CDR outcome exceeds emission intensity expended in undertaking the restoration action, e.g. degraded areas difficult to access; areas where restoration timeframe and therefore CDR outcome cannot payback in proportion to resources, energy expended.</w:t>
      </w:r>
    </w:p>
  </w:endnote>
  <w:endnote w:id="10">
    <w:p w:rsidR="00E81AB4" w:rsidRPr="00632107" w:rsidRDefault="00E81AB4" w:rsidP="00632107">
      <w:pPr>
        <w:pStyle w:val="9Endnote"/>
        <w:rPr>
          <w:rFonts w:asciiTheme="majorHAnsi" w:eastAsia="Times New Roman" w:hAnsiTheme="majorHAnsi"/>
          <w:color w:val="auto"/>
          <w:szCs w:val="22"/>
          <w:lang w:val="en-AU" w:bidi="x-none"/>
        </w:rPr>
      </w:pPr>
      <w:r w:rsidRPr="00766771">
        <w:rPr>
          <w:rStyle w:val="EndnoteReference"/>
          <w:rFonts w:asciiTheme="majorHAnsi" w:hAnsiTheme="majorHAnsi"/>
          <w:szCs w:val="22"/>
        </w:rPr>
        <w:endnoteRef/>
      </w:r>
      <w:r w:rsidRPr="00766771">
        <w:rPr>
          <w:rFonts w:asciiTheme="majorHAnsi" w:hAnsiTheme="majorHAnsi"/>
          <w:szCs w:val="22"/>
        </w:rPr>
        <w:t xml:space="preserve"> </w:t>
      </w:r>
      <w:r w:rsidR="0054353F" w:rsidRPr="00766771">
        <w:rPr>
          <w:rFonts w:asciiTheme="majorHAnsi" w:hAnsiTheme="majorHAnsi"/>
          <w:szCs w:val="22"/>
        </w:rPr>
        <w:t xml:space="preserve">“bioenergy systems have often been assessed (e. g., in LCA studies, integrated models, policy directives, etc.) under the assumption that the CO2 emitted from biomass combustion is climate neutral14 because the carbon that was previously sequestered from the atmosphere will be re-sequestered if the bioenergy system is managed sustainably (Chum et al., 2011; </w:t>
      </w:r>
      <w:proofErr w:type="spellStart"/>
      <w:r w:rsidR="0054353F" w:rsidRPr="00766771">
        <w:rPr>
          <w:rFonts w:asciiTheme="majorHAnsi" w:hAnsiTheme="majorHAnsi"/>
          <w:szCs w:val="22"/>
        </w:rPr>
        <w:t>Creutzig</w:t>
      </w:r>
      <w:proofErr w:type="spellEnd"/>
      <w:r w:rsidR="0054353F" w:rsidRPr="00766771">
        <w:rPr>
          <w:rFonts w:asciiTheme="majorHAnsi" w:hAnsiTheme="majorHAnsi"/>
          <w:szCs w:val="22"/>
        </w:rPr>
        <w:t xml:space="preserve"> et al., 2012a; b). The shortcomings of this assumption have been extensively discussed in environmental impact studies and emission accounting mechanisms (</w:t>
      </w:r>
      <w:proofErr w:type="spellStart"/>
      <w:r w:rsidR="0054353F" w:rsidRPr="00766771">
        <w:rPr>
          <w:rFonts w:asciiTheme="majorHAnsi" w:hAnsiTheme="majorHAnsi"/>
          <w:szCs w:val="22"/>
        </w:rPr>
        <w:t>Searchinger</w:t>
      </w:r>
      <w:proofErr w:type="spellEnd"/>
      <w:r w:rsidR="0054353F" w:rsidRPr="00766771">
        <w:rPr>
          <w:rFonts w:asciiTheme="majorHAnsi" w:hAnsiTheme="majorHAnsi"/>
          <w:szCs w:val="22"/>
        </w:rPr>
        <w:t xml:space="preserve"> et al., 2009; </w:t>
      </w:r>
      <w:proofErr w:type="spellStart"/>
      <w:r w:rsidR="0054353F" w:rsidRPr="00766771">
        <w:rPr>
          <w:rFonts w:asciiTheme="majorHAnsi" w:hAnsiTheme="majorHAnsi"/>
          <w:szCs w:val="22"/>
        </w:rPr>
        <w:t>Searchinger</w:t>
      </w:r>
      <w:proofErr w:type="spellEnd"/>
      <w:r w:rsidR="0054353F" w:rsidRPr="00766771">
        <w:rPr>
          <w:rFonts w:asciiTheme="majorHAnsi" w:hAnsiTheme="majorHAnsi"/>
          <w:szCs w:val="22"/>
        </w:rPr>
        <w:t xml:space="preserve">, 2010; Cherubini et al., 2011; Haberl, 2013).” This is extracted from Smith, et al., (2014). Agriculture, Forestry, and Other Land Use (AFOLU). Intergovernmental Panel on Climate </w:t>
      </w:r>
      <w:proofErr w:type="gramStart"/>
      <w:r w:rsidR="0054353F" w:rsidRPr="00766771">
        <w:rPr>
          <w:rFonts w:asciiTheme="majorHAnsi" w:hAnsiTheme="majorHAnsi"/>
          <w:szCs w:val="22"/>
        </w:rPr>
        <w:t>Change(</w:t>
      </w:r>
      <w:proofErr w:type="gramEnd"/>
      <w:r w:rsidR="0054353F" w:rsidRPr="00766771">
        <w:rPr>
          <w:rFonts w:asciiTheme="majorHAnsi" w:hAnsiTheme="majorHAnsi"/>
          <w:szCs w:val="22"/>
        </w:rPr>
        <w:t>IPCC). Accessed: https://archive.ipcc.ch/pdf/assessment-report/ar5/wg3/ipcc_wg3_ar5_chapter11.pdf</w:t>
      </w:r>
    </w:p>
  </w:endnote>
  <w:endnote w:id="11">
    <w:p w:rsidR="00E81AB4" w:rsidRPr="00766771" w:rsidRDefault="00E81AB4" w:rsidP="00766771">
      <w:pPr>
        <w:pStyle w:val="9Endnote"/>
        <w:rPr>
          <w:rFonts w:asciiTheme="majorHAnsi" w:eastAsia="Times New Roman" w:hAnsiTheme="majorHAnsi"/>
          <w:color w:val="auto"/>
          <w:szCs w:val="22"/>
          <w:lang w:val="en-AU" w:bidi="x-none"/>
        </w:rPr>
      </w:pPr>
      <w:r w:rsidRPr="00766771">
        <w:rPr>
          <w:rStyle w:val="EndnoteReference"/>
          <w:rFonts w:asciiTheme="majorHAnsi" w:hAnsiTheme="majorHAnsi"/>
          <w:szCs w:val="22"/>
        </w:rPr>
        <w:endnoteRef/>
      </w:r>
      <w:r w:rsidRPr="00766771">
        <w:rPr>
          <w:rFonts w:asciiTheme="majorHAnsi" w:hAnsiTheme="majorHAnsi"/>
          <w:szCs w:val="22"/>
        </w:rPr>
        <w:t xml:space="preserve"> </w:t>
      </w:r>
      <w:r w:rsidR="0054353F" w:rsidRPr="00766771">
        <w:rPr>
          <w:rFonts w:asciiTheme="majorHAnsi" w:hAnsiTheme="majorHAnsi"/>
          <w:szCs w:val="22"/>
        </w:rPr>
        <w:t xml:space="preserve">‘For example, in the specific case of existing forests that may continue to grow if not used for bioenergy, some studies employing counterfactual baselines show that forest bioenergy systems can temporarily have higher cumulative CO2 emissions than a fossil reference system (for a time period ranging from a few decades up to several centuries; (Repo et al., 2011; Mitchell et al., 2012; </w:t>
      </w:r>
      <w:proofErr w:type="spellStart"/>
      <w:r w:rsidR="0054353F" w:rsidRPr="00766771">
        <w:rPr>
          <w:rFonts w:asciiTheme="majorHAnsi" w:hAnsiTheme="majorHAnsi"/>
          <w:szCs w:val="22"/>
        </w:rPr>
        <w:t>Pingoud</w:t>
      </w:r>
      <w:proofErr w:type="spellEnd"/>
      <w:r w:rsidR="0054353F" w:rsidRPr="00766771">
        <w:rPr>
          <w:rFonts w:asciiTheme="majorHAnsi" w:hAnsiTheme="majorHAnsi"/>
          <w:szCs w:val="22"/>
        </w:rPr>
        <w:t xml:space="preserve"> et al., 2012; Bernier and </w:t>
      </w:r>
      <w:proofErr w:type="spellStart"/>
      <w:r w:rsidR="0054353F" w:rsidRPr="00766771">
        <w:rPr>
          <w:rFonts w:asciiTheme="majorHAnsi" w:hAnsiTheme="majorHAnsi"/>
          <w:szCs w:val="22"/>
        </w:rPr>
        <w:t>Paré</w:t>
      </w:r>
      <w:proofErr w:type="spellEnd"/>
      <w:r w:rsidR="0054353F" w:rsidRPr="00766771">
        <w:rPr>
          <w:rFonts w:asciiTheme="majorHAnsi" w:hAnsiTheme="majorHAnsi"/>
          <w:szCs w:val="22"/>
        </w:rPr>
        <w:t xml:space="preserve">, 2013; Guest et al., 2013; </w:t>
      </w:r>
      <w:proofErr w:type="spellStart"/>
      <w:r w:rsidR="0054353F" w:rsidRPr="00766771">
        <w:rPr>
          <w:rFonts w:asciiTheme="majorHAnsi" w:hAnsiTheme="majorHAnsi"/>
          <w:szCs w:val="22"/>
        </w:rPr>
        <w:t>Helin</w:t>
      </w:r>
      <w:proofErr w:type="spellEnd"/>
      <w:r w:rsidR="0054353F" w:rsidRPr="00766771">
        <w:rPr>
          <w:rFonts w:asciiTheme="majorHAnsi" w:hAnsiTheme="majorHAnsi"/>
          <w:szCs w:val="22"/>
        </w:rPr>
        <w:t xml:space="preserve"> et al., 2013; </w:t>
      </w:r>
      <w:proofErr w:type="spellStart"/>
      <w:r w:rsidR="0054353F" w:rsidRPr="00766771">
        <w:rPr>
          <w:rFonts w:asciiTheme="majorHAnsi" w:hAnsiTheme="majorHAnsi"/>
          <w:szCs w:val="22"/>
        </w:rPr>
        <w:t>Holtsmark</w:t>
      </w:r>
      <w:proofErr w:type="spellEnd"/>
      <w:r w:rsidR="0054353F" w:rsidRPr="00766771">
        <w:rPr>
          <w:rFonts w:asciiTheme="majorHAnsi" w:hAnsiTheme="majorHAnsi"/>
          <w:szCs w:val="22"/>
        </w:rPr>
        <w:t xml:space="preserve">, 2013)’, this extracted from Smith, et al., (2014). Agriculture, Forestry, and Other Land Use (AFOLU). Intergovernmental Panel on Climate </w:t>
      </w:r>
      <w:proofErr w:type="gramStart"/>
      <w:r w:rsidR="0054353F" w:rsidRPr="00766771">
        <w:rPr>
          <w:rFonts w:asciiTheme="majorHAnsi" w:hAnsiTheme="majorHAnsi"/>
          <w:szCs w:val="22"/>
        </w:rPr>
        <w:t>Change(</w:t>
      </w:r>
      <w:proofErr w:type="gramEnd"/>
      <w:r w:rsidR="0054353F" w:rsidRPr="00766771">
        <w:rPr>
          <w:rFonts w:asciiTheme="majorHAnsi" w:hAnsiTheme="majorHAnsi"/>
          <w:szCs w:val="22"/>
        </w:rPr>
        <w:t>IPCC). Accessed: https://archive.ipcc.ch/pdf/assessment-report/ar5/wg3/ipcc_wg3_ar5_chapter11.pdf</w:t>
      </w:r>
    </w:p>
  </w:endnote>
  <w:endnote w:id="12">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4353F" w:rsidRPr="00766771">
        <w:rPr>
          <w:rFonts w:asciiTheme="majorHAnsi" w:hAnsiTheme="majorHAnsi"/>
          <w:sz w:val="22"/>
          <w:szCs w:val="22"/>
        </w:rPr>
        <w:t>Given logged forests’ vulnerability to climate change impact, impacts of ongoing logging cycles, and land use change (conversion of a forest to other uses) that is often the consequence of severe forest degradation.</w:t>
      </w:r>
    </w:p>
  </w:endnote>
  <w:endnote w:id="13">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B02F57" w:rsidRPr="00766771">
        <w:rPr>
          <w:rFonts w:asciiTheme="majorHAnsi" w:hAnsiTheme="majorHAnsi"/>
          <w:sz w:val="22"/>
          <w:szCs w:val="22"/>
        </w:rPr>
        <w:t xml:space="preserve">N. L. Stephenson, A. J. Das, R. Condit, S. E. Russo, P. J. Baker, N. G. Beckman, D. A. </w:t>
      </w:r>
      <w:proofErr w:type="spellStart"/>
      <w:r w:rsidR="00B02F57" w:rsidRPr="00766771">
        <w:rPr>
          <w:rFonts w:asciiTheme="majorHAnsi" w:hAnsiTheme="majorHAnsi"/>
          <w:sz w:val="22"/>
          <w:szCs w:val="22"/>
        </w:rPr>
        <w:t>Coomes</w:t>
      </w:r>
      <w:proofErr w:type="spellEnd"/>
      <w:r w:rsidR="00B02F57" w:rsidRPr="00766771">
        <w:rPr>
          <w:rFonts w:asciiTheme="majorHAnsi" w:hAnsiTheme="majorHAnsi"/>
          <w:sz w:val="22"/>
          <w:szCs w:val="22"/>
        </w:rPr>
        <w:t xml:space="preserve">, E. R. Lines, W. K. Morris, N. </w:t>
      </w:r>
      <w:proofErr w:type="spellStart"/>
      <w:r w:rsidR="00B02F57" w:rsidRPr="00766771">
        <w:rPr>
          <w:rFonts w:asciiTheme="majorHAnsi" w:hAnsiTheme="majorHAnsi"/>
          <w:sz w:val="22"/>
          <w:szCs w:val="22"/>
        </w:rPr>
        <w:t>Rüger</w:t>
      </w:r>
      <w:proofErr w:type="spellEnd"/>
      <w:r w:rsidR="00B02F57" w:rsidRPr="00766771">
        <w:rPr>
          <w:rFonts w:asciiTheme="majorHAnsi" w:hAnsiTheme="majorHAnsi"/>
          <w:sz w:val="22"/>
          <w:szCs w:val="22"/>
        </w:rPr>
        <w:t xml:space="preserve">, E. </w:t>
      </w:r>
      <w:proofErr w:type="spellStart"/>
      <w:r w:rsidR="00B02F57" w:rsidRPr="00766771">
        <w:rPr>
          <w:rFonts w:asciiTheme="majorHAnsi" w:hAnsiTheme="majorHAnsi"/>
          <w:sz w:val="22"/>
          <w:szCs w:val="22"/>
        </w:rPr>
        <w:t>Álvarez</w:t>
      </w:r>
      <w:proofErr w:type="spellEnd"/>
      <w:r w:rsidR="00B02F57" w:rsidRPr="00766771">
        <w:rPr>
          <w:rFonts w:asciiTheme="majorHAnsi" w:hAnsiTheme="majorHAnsi"/>
          <w:sz w:val="22"/>
          <w:szCs w:val="22"/>
        </w:rPr>
        <w:t xml:space="preserve">, C. </w:t>
      </w:r>
      <w:proofErr w:type="spellStart"/>
      <w:r w:rsidR="00B02F57" w:rsidRPr="00766771">
        <w:rPr>
          <w:rFonts w:asciiTheme="majorHAnsi" w:hAnsiTheme="majorHAnsi"/>
          <w:sz w:val="22"/>
          <w:szCs w:val="22"/>
        </w:rPr>
        <w:t>Blundo</w:t>
      </w:r>
      <w:proofErr w:type="spellEnd"/>
      <w:r w:rsidR="00B02F57" w:rsidRPr="00766771">
        <w:rPr>
          <w:rFonts w:asciiTheme="majorHAnsi" w:hAnsiTheme="majorHAnsi"/>
          <w:sz w:val="22"/>
          <w:szCs w:val="22"/>
        </w:rPr>
        <w:t xml:space="preserve">, S. </w:t>
      </w:r>
      <w:proofErr w:type="spellStart"/>
      <w:r w:rsidR="00B02F57" w:rsidRPr="00766771">
        <w:rPr>
          <w:rFonts w:asciiTheme="majorHAnsi" w:hAnsiTheme="majorHAnsi"/>
          <w:sz w:val="22"/>
          <w:szCs w:val="22"/>
        </w:rPr>
        <w:t>Bunyavejchewin</w:t>
      </w:r>
      <w:proofErr w:type="spellEnd"/>
      <w:r w:rsidR="00B02F57" w:rsidRPr="00766771">
        <w:rPr>
          <w:rFonts w:asciiTheme="majorHAnsi" w:hAnsiTheme="majorHAnsi"/>
          <w:sz w:val="22"/>
          <w:szCs w:val="22"/>
        </w:rPr>
        <w:t xml:space="preserve">, G. </w:t>
      </w:r>
      <w:proofErr w:type="spellStart"/>
      <w:r w:rsidR="00B02F57" w:rsidRPr="00766771">
        <w:rPr>
          <w:rFonts w:asciiTheme="majorHAnsi" w:hAnsiTheme="majorHAnsi"/>
          <w:sz w:val="22"/>
          <w:szCs w:val="22"/>
        </w:rPr>
        <w:t>Chuyong</w:t>
      </w:r>
      <w:proofErr w:type="spellEnd"/>
      <w:r w:rsidR="00B02F57" w:rsidRPr="00766771">
        <w:rPr>
          <w:rFonts w:asciiTheme="majorHAnsi" w:hAnsiTheme="majorHAnsi"/>
          <w:sz w:val="22"/>
          <w:szCs w:val="22"/>
        </w:rPr>
        <w:t xml:space="preserve">, S. J. Davies, Á. Duque, C. N. </w:t>
      </w:r>
      <w:proofErr w:type="spellStart"/>
      <w:r w:rsidR="00B02F57" w:rsidRPr="00766771">
        <w:rPr>
          <w:rFonts w:asciiTheme="majorHAnsi" w:hAnsiTheme="majorHAnsi"/>
          <w:sz w:val="22"/>
          <w:szCs w:val="22"/>
        </w:rPr>
        <w:t>Ewango</w:t>
      </w:r>
      <w:proofErr w:type="spellEnd"/>
      <w:r w:rsidR="00B02F57" w:rsidRPr="00766771">
        <w:rPr>
          <w:rFonts w:asciiTheme="majorHAnsi" w:hAnsiTheme="majorHAnsi"/>
          <w:sz w:val="22"/>
          <w:szCs w:val="22"/>
        </w:rPr>
        <w:t xml:space="preserve">, O. Flores, J. F. Franklin, H. R. </w:t>
      </w:r>
      <w:proofErr w:type="spellStart"/>
      <w:r w:rsidR="00B02F57" w:rsidRPr="00766771">
        <w:rPr>
          <w:rFonts w:asciiTheme="majorHAnsi" w:hAnsiTheme="majorHAnsi"/>
          <w:sz w:val="22"/>
          <w:szCs w:val="22"/>
        </w:rPr>
        <w:t>Grau</w:t>
      </w:r>
      <w:proofErr w:type="spellEnd"/>
      <w:r w:rsidR="00B02F57" w:rsidRPr="00766771">
        <w:rPr>
          <w:rFonts w:asciiTheme="majorHAnsi" w:hAnsiTheme="majorHAnsi"/>
          <w:sz w:val="22"/>
          <w:szCs w:val="22"/>
        </w:rPr>
        <w:t xml:space="preserve">, Z. </w:t>
      </w:r>
      <w:proofErr w:type="spellStart"/>
      <w:r w:rsidR="00B02F57" w:rsidRPr="00766771">
        <w:rPr>
          <w:rFonts w:asciiTheme="majorHAnsi" w:hAnsiTheme="majorHAnsi"/>
          <w:sz w:val="22"/>
          <w:szCs w:val="22"/>
        </w:rPr>
        <w:t>Hao</w:t>
      </w:r>
      <w:proofErr w:type="spellEnd"/>
      <w:r w:rsidR="00B02F57" w:rsidRPr="00766771">
        <w:rPr>
          <w:rFonts w:asciiTheme="majorHAnsi" w:hAnsiTheme="majorHAnsi"/>
          <w:sz w:val="22"/>
          <w:szCs w:val="22"/>
        </w:rPr>
        <w:t xml:space="preserve">, M. E. Harmon, S. P. Hubbell, D. </w:t>
      </w:r>
      <w:proofErr w:type="spellStart"/>
      <w:r w:rsidR="00B02F57" w:rsidRPr="00766771">
        <w:rPr>
          <w:rFonts w:asciiTheme="majorHAnsi" w:hAnsiTheme="majorHAnsi"/>
          <w:sz w:val="22"/>
          <w:szCs w:val="22"/>
        </w:rPr>
        <w:t>Kenfack</w:t>
      </w:r>
      <w:proofErr w:type="spellEnd"/>
      <w:r w:rsidR="00B02F57" w:rsidRPr="00766771">
        <w:rPr>
          <w:rFonts w:asciiTheme="majorHAnsi" w:hAnsiTheme="majorHAnsi"/>
          <w:sz w:val="22"/>
          <w:szCs w:val="22"/>
        </w:rPr>
        <w:t xml:space="preserve">, Y. Lin, J.-R. </w:t>
      </w:r>
      <w:proofErr w:type="spellStart"/>
      <w:r w:rsidR="00B02F57" w:rsidRPr="00766771">
        <w:rPr>
          <w:rFonts w:asciiTheme="majorHAnsi" w:hAnsiTheme="majorHAnsi"/>
          <w:sz w:val="22"/>
          <w:szCs w:val="22"/>
        </w:rPr>
        <w:t>Makana</w:t>
      </w:r>
      <w:proofErr w:type="spellEnd"/>
      <w:r w:rsidR="00B02F57" w:rsidRPr="00766771">
        <w:rPr>
          <w:rFonts w:asciiTheme="majorHAnsi" w:hAnsiTheme="majorHAnsi"/>
          <w:sz w:val="22"/>
          <w:szCs w:val="22"/>
        </w:rPr>
        <w:t xml:space="preserve">, A. </w:t>
      </w:r>
      <w:proofErr w:type="spellStart"/>
      <w:r w:rsidR="00B02F57" w:rsidRPr="00766771">
        <w:rPr>
          <w:rFonts w:asciiTheme="majorHAnsi" w:hAnsiTheme="majorHAnsi"/>
          <w:sz w:val="22"/>
          <w:szCs w:val="22"/>
        </w:rPr>
        <w:t>Malizia</w:t>
      </w:r>
      <w:proofErr w:type="spellEnd"/>
      <w:r w:rsidR="00B02F57" w:rsidRPr="00766771">
        <w:rPr>
          <w:rFonts w:asciiTheme="majorHAnsi" w:hAnsiTheme="majorHAnsi"/>
          <w:sz w:val="22"/>
          <w:szCs w:val="22"/>
        </w:rPr>
        <w:t xml:space="preserve">, L. R. </w:t>
      </w:r>
      <w:proofErr w:type="spellStart"/>
      <w:r w:rsidR="00B02F57" w:rsidRPr="00766771">
        <w:rPr>
          <w:rFonts w:asciiTheme="majorHAnsi" w:hAnsiTheme="majorHAnsi"/>
          <w:sz w:val="22"/>
          <w:szCs w:val="22"/>
        </w:rPr>
        <w:t>Malizia</w:t>
      </w:r>
      <w:proofErr w:type="spellEnd"/>
      <w:r w:rsidR="00B02F57" w:rsidRPr="00766771">
        <w:rPr>
          <w:rFonts w:asciiTheme="majorHAnsi" w:hAnsiTheme="majorHAnsi"/>
          <w:sz w:val="22"/>
          <w:szCs w:val="22"/>
        </w:rPr>
        <w:t xml:space="preserve">, R. J. Pabst, N. </w:t>
      </w:r>
      <w:proofErr w:type="spellStart"/>
      <w:r w:rsidR="00B02F57" w:rsidRPr="00766771">
        <w:rPr>
          <w:rFonts w:asciiTheme="majorHAnsi" w:hAnsiTheme="majorHAnsi"/>
          <w:sz w:val="22"/>
          <w:szCs w:val="22"/>
        </w:rPr>
        <w:t>Pongpattananurak</w:t>
      </w:r>
      <w:proofErr w:type="spellEnd"/>
      <w:r w:rsidR="00B02F57" w:rsidRPr="00766771">
        <w:rPr>
          <w:rFonts w:asciiTheme="majorHAnsi" w:hAnsiTheme="majorHAnsi"/>
          <w:sz w:val="22"/>
          <w:szCs w:val="22"/>
        </w:rPr>
        <w:t xml:space="preserve">, S.-H. </w:t>
      </w:r>
      <w:proofErr w:type="gramStart"/>
      <w:r w:rsidR="00B02F57" w:rsidRPr="00766771">
        <w:rPr>
          <w:rFonts w:asciiTheme="majorHAnsi" w:hAnsiTheme="majorHAnsi"/>
          <w:sz w:val="22"/>
          <w:szCs w:val="22"/>
        </w:rPr>
        <w:t>Su, I-F.</w:t>
      </w:r>
      <w:proofErr w:type="gramEnd"/>
      <w:r w:rsidR="00B02F57" w:rsidRPr="00766771">
        <w:rPr>
          <w:rFonts w:asciiTheme="majorHAnsi" w:hAnsiTheme="majorHAnsi"/>
          <w:sz w:val="22"/>
          <w:szCs w:val="22"/>
        </w:rPr>
        <w:t xml:space="preserve"> Sun, S. Tan, D. Thomas, P. J. van </w:t>
      </w:r>
      <w:proofErr w:type="spellStart"/>
      <w:r w:rsidR="00B02F57" w:rsidRPr="00766771">
        <w:rPr>
          <w:rFonts w:asciiTheme="majorHAnsi" w:hAnsiTheme="majorHAnsi"/>
          <w:sz w:val="22"/>
          <w:szCs w:val="22"/>
        </w:rPr>
        <w:t>Mantgem</w:t>
      </w:r>
      <w:proofErr w:type="spellEnd"/>
      <w:r w:rsidR="00B02F57" w:rsidRPr="00766771">
        <w:rPr>
          <w:rFonts w:asciiTheme="majorHAnsi" w:hAnsiTheme="majorHAnsi"/>
          <w:sz w:val="22"/>
          <w:szCs w:val="22"/>
        </w:rPr>
        <w:t>, X. Wang, S. K. Wiser[…]M. A. Zavala, Rate of tree carbon accumulation increases continuously with tree size Nature volume 507, pages 90–93 (06 March 2014), https://doi.org/10.1038/nature12914</w:t>
      </w:r>
    </w:p>
  </w:endnote>
  <w:endnote w:id="14">
    <w:p w:rsidR="00B55BED" w:rsidRPr="00B55BED" w:rsidRDefault="00B55BED">
      <w:pPr>
        <w:pStyle w:val="EndnoteText"/>
        <w:rPr>
          <w:rFonts w:asciiTheme="majorHAnsi" w:hAnsiTheme="majorHAnsi"/>
        </w:rPr>
      </w:pPr>
      <w:r w:rsidRPr="00B55BED">
        <w:rPr>
          <w:rStyle w:val="EndnoteReference"/>
          <w:rFonts w:asciiTheme="majorHAnsi" w:hAnsiTheme="majorHAnsi"/>
        </w:rPr>
        <w:endnoteRef/>
      </w:r>
      <w:r w:rsidRPr="00B55BED">
        <w:rPr>
          <w:rFonts w:asciiTheme="majorHAnsi" w:hAnsiTheme="majorHAnsi"/>
        </w:rPr>
        <w:t xml:space="preserve"> A small sample only of the many reports and letters from scientists (and economists) to policy makers against legitimising forest derived biomass energy and fuel.  Australian scientists have also written to Australian policy makers and politicians urging them not to adopt forest derived biomass as feedstock for energy and fuel.</w:t>
      </w:r>
    </w:p>
  </w:endnote>
  <w:endnote w:id="15">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D0335A" w:rsidRPr="00766771">
        <w:rPr>
          <w:rFonts w:asciiTheme="majorHAnsi" w:hAnsiTheme="majorHAnsi"/>
          <w:sz w:val="22"/>
          <w:szCs w:val="22"/>
        </w:rPr>
        <w:t xml:space="preserve">Wood that reaches a power plant can displace fossil emissions but per kWh of electricity typically emits 1.5x the CO2 of coal and 3x the CO2 of natural gas because of wood’s carbon bonds, water content (Table 2.2 of ref. 17) and lower burning temperature (and pelletizing wood provides no net advantages) (Supplementary Note 1) 6,16  (extracted from) Europe’s renewable energy directive poised to harm global forests, Timothy D. </w:t>
      </w:r>
      <w:proofErr w:type="spellStart"/>
      <w:r w:rsidR="00D0335A" w:rsidRPr="00766771">
        <w:rPr>
          <w:rFonts w:asciiTheme="majorHAnsi" w:hAnsiTheme="majorHAnsi"/>
          <w:sz w:val="22"/>
          <w:szCs w:val="22"/>
        </w:rPr>
        <w:t>Searchinger</w:t>
      </w:r>
      <w:proofErr w:type="spellEnd"/>
      <w:r w:rsidR="00D0335A" w:rsidRPr="00766771">
        <w:rPr>
          <w:rFonts w:asciiTheme="majorHAnsi" w:hAnsiTheme="majorHAnsi"/>
          <w:sz w:val="22"/>
          <w:szCs w:val="22"/>
        </w:rPr>
        <w:t xml:space="preserve">, Tim </w:t>
      </w:r>
      <w:proofErr w:type="spellStart"/>
      <w:r w:rsidR="00D0335A" w:rsidRPr="00766771">
        <w:rPr>
          <w:rFonts w:asciiTheme="majorHAnsi" w:hAnsiTheme="majorHAnsi"/>
          <w:sz w:val="22"/>
          <w:szCs w:val="22"/>
        </w:rPr>
        <w:t>Beringer</w:t>
      </w:r>
      <w:proofErr w:type="spellEnd"/>
      <w:r w:rsidR="00D0335A" w:rsidRPr="00766771">
        <w:rPr>
          <w:rFonts w:asciiTheme="majorHAnsi" w:hAnsiTheme="majorHAnsi"/>
          <w:sz w:val="22"/>
          <w:szCs w:val="22"/>
        </w:rPr>
        <w:t xml:space="preserve">, </w:t>
      </w:r>
      <w:proofErr w:type="spellStart"/>
      <w:r w:rsidR="00D0335A" w:rsidRPr="00766771">
        <w:rPr>
          <w:rFonts w:asciiTheme="majorHAnsi" w:hAnsiTheme="majorHAnsi"/>
          <w:sz w:val="22"/>
          <w:szCs w:val="22"/>
        </w:rPr>
        <w:t>Bjart</w:t>
      </w:r>
      <w:proofErr w:type="spellEnd"/>
      <w:r w:rsidR="00D0335A" w:rsidRPr="00766771">
        <w:rPr>
          <w:rFonts w:asciiTheme="majorHAnsi" w:hAnsiTheme="majorHAnsi"/>
          <w:sz w:val="22"/>
          <w:szCs w:val="22"/>
        </w:rPr>
        <w:t xml:space="preserve"> </w:t>
      </w:r>
      <w:proofErr w:type="spellStart"/>
      <w:r w:rsidR="00D0335A" w:rsidRPr="00766771">
        <w:rPr>
          <w:rFonts w:asciiTheme="majorHAnsi" w:hAnsiTheme="majorHAnsi"/>
          <w:sz w:val="22"/>
          <w:szCs w:val="22"/>
        </w:rPr>
        <w:t>Holtsmark</w:t>
      </w:r>
      <w:proofErr w:type="spellEnd"/>
      <w:r w:rsidR="00D0335A" w:rsidRPr="00766771">
        <w:rPr>
          <w:rFonts w:asciiTheme="majorHAnsi" w:hAnsiTheme="majorHAnsi"/>
          <w:sz w:val="22"/>
          <w:szCs w:val="22"/>
        </w:rPr>
        <w:t xml:space="preserve">, Daniel M. </w:t>
      </w:r>
      <w:proofErr w:type="spellStart"/>
      <w:r w:rsidR="00D0335A" w:rsidRPr="00766771">
        <w:rPr>
          <w:rFonts w:asciiTheme="majorHAnsi" w:hAnsiTheme="majorHAnsi"/>
          <w:sz w:val="22"/>
          <w:szCs w:val="22"/>
        </w:rPr>
        <w:t>Kammen</w:t>
      </w:r>
      <w:proofErr w:type="spellEnd"/>
      <w:r w:rsidR="00D0335A" w:rsidRPr="00766771">
        <w:rPr>
          <w:rFonts w:asciiTheme="majorHAnsi" w:hAnsiTheme="majorHAnsi"/>
          <w:sz w:val="22"/>
          <w:szCs w:val="22"/>
        </w:rPr>
        <w:t xml:space="preserve">, Eric F. </w:t>
      </w:r>
      <w:proofErr w:type="spellStart"/>
      <w:r w:rsidR="00D0335A" w:rsidRPr="00766771">
        <w:rPr>
          <w:rFonts w:asciiTheme="majorHAnsi" w:hAnsiTheme="majorHAnsi"/>
          <w:sz w:val="22"/>
          <w:szCs w:val="22"/>
        </w:rPr>
        <w:t>Lambin</w:t>
      </w:r>
      <w:proofErr w:type="spellEnd"/>
      <w:r w:rsidR="00D0335A" w:rsidRPr="00766771">
        <w:rPr>
          <w:rFonts w:asciiTheme="majorHAnsi" w:hAnsiTheme="majorHAnsi"/>
          <w:sz w:val="22"/>
          <w:szCs w:val="22"/>
        </w:rPr>
        <w:t xml:space="preserve">, Wolfgang </w:t>
      </w:r>
      <w:proofErr w:type="spellStart"/>
      <w:r w:rsidR="00D0335A" w:rsidRPr="00766771">
        <w:rPr>
          <w:rFonts w:asciiTheme="majorHAnsi" w:hAnsiTheme="majorHAnsi"/>
          <w:sz w:val="22"/>
          <w:szCs w:val="22"/>
        </w:rPr>
        <w:t>Lucht</w:t>
      </w:r>
      <w:proofErr w:type="spellEnd"/>
      <w:r w:rsidR="00D0335A" w:rsidRPr="00766771">
        <w:rPr>
          <w:rFonts w:asciiTheme="majorHAnsi" w:hAnsiTheme="majorHAnsi"/>
          <w:sz w:val="22"/>
          <w:szCs w:val="22"/>
        </w:rPr>
        <w:t xml:space="preserve">, Peter Raven and Jean-Pascal van </w:t>
      </w:r>
      <w:proofErr w:type="spellStart"/>
      <w:r w:rsidR="00D0335A" w:rsidRPr="00766771">
        <w:rPr>
          <w:rFonts w:asciiTheme="majorHAnsi" w:hAnsiTheme="majorHAnsi"/>
          <w:sz w:val="22"/>
          <w:szCs w:val="22"/>
        </w:rPr>
        <w:t>Ypersele</w:t>
      </w:r>
      <w:proofErr w:type="spellEnd"/>
      <w:r w:rsidR="00D0335A" w:rsidRPr="00766771">
        <w:rPr>
          <w:rFonts w:asciiTheme="majorHAnsi" w:hAnsiTheme="majorHAnsi"/>
          <w:sz w:val="22"/>
          <w:szCs w:val="22"/>
        </w:rPr>
        <w:t xml:space="preserve">, and also see: </w:t>
      </w:r>
      <w:hyperlink r:id="rId4" w:history="1">
        <w:r w:rsidR="00D0335A" w:rsidRPr="00766771">
          <w:rPr>
            <w:rStyle w:val="Hyperlink1"/>
            <w:rFonts w:asciiTheme="majorHAnsi" w:hAnsiTheme="majorHAnsi"/>
            <w:szCs w:val="22"/>
          </w:rPr>
          <w:t>http://ase.tufts.edu/gdae/Pubs/climate/ClimatePolicyBrief7.pdf</w:t>
        </w:r>
      </w:hyperlink>
      <w:r w:rsidR="00D0335A" w:rsidRPr="00766771">
        <w:rPr>
          <w:rFonts w:asciiTheme="majorHAnsi" w:hAnsiTheme="majorHAnsi"/>
          <w:sz w:val="22"/>
          <w:szCs w:val="22"/>
        </w:rPr>
        <w:t>, http://www.ase.tufts.edu/gdae/Pubs/climate/ClimatePolicyBrief8.pdf</w:t>
      </w:r>
    </w:p>
  </w:endnote>
  <w:endnote w:id="16">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B1BDC" w:rsidRPr="00766771">
        <w:rPr>
          <w:rFonts w:asciiTheme="majorHAnsi" w:hAnsiTheme="majorHAnsi"/>
          <w:sz w:val="22"/>
          <w:szCs w:val="22"/>
        </w:rPr>
        <w:t>Stephenson, N.L. et al. Rate of tree carbon accumulation increases continuously with tree size. Nature 507, 90–93 (06 March 2014) doi:10.1038/nature12914</w:t>
      </w:r>
    </w:p>
  </w:endnote>
  <w:endnote w:id="17">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proofErr w:type="spellStart"/>
      <w:r w:rsidR="005B1BDC" w:rsidRPr="00766771">
        <w:rPr>
          <w:rFonts w:asciiTheme="majorHAnsi" w:hAnsiTheme="majorHAnsi"/>
          <w:sz w:val="22"/>
          <w:szCs w:val="22"/>
        </w:rPr>
        <w:t>Popkin</w:t>
      </w:r>
      <w:proofErr w:type="spellEnd"/>
      <w:r w:rsidR="005B1BDC" w:rsidRPr="00766771">
        <w:rPr>
          <w:rFonts w:asciiTheme="majorHAnsi" w:hAnsiTheme="majorHAnsi"/>
          <w:sz w:val="22"/>
          <w:szCs w:val="22"/>
        </w:rPr>
        <w:t xml:space="preserve">, G. Tropical forests may be carbon sources, not sinks. </w:t>
      </w:r>
      <w:proofErr w:type="gramStart"/>
      <w:r w:rsidR="005B1BDC" w:rsidRPr="00766771">
        <w:rPr>
          <w:rFonts w:asciiTheme="majorHAnsi" w:hAnsiTheme="majorHAnsi"/>
          <w:sz w:val="22"/>
          <w:szCs w:val="22"/>
        </w:rPr>
        <w:t>Nature.</w:t>
      </w:r>
      <w:proofErr w:type="gramEnd"/>
      <w:r w:rsidR="005B1BDC" w:rsidRPr="00766771">
        <w:rPr>
          <w:rFonts w:asciiTheme="majorHAnsi" w:hAnsiTheme="majorHAnsi"/>
          <w:sz w:val="22"/>
          <w:szCs w:val="22"/>
        </w:rPr>
        <w:t xml:space="preserve"> doi:10.1038/nature.2017.22692. (2017).</w:t>
      </w:r>
    </w:p>
  </w:endnote>
  <w:endnote w:id="18">
    <w:p w:rsidR="00E81AB4" w:rsidRPr="00766771" w:rsidRDefault="00E81AB4" w:rsidP="00766771">
      <w:pPr>
        <w:pStyle w:val="EndnoteText1"/>
        <w:rPr>
          <w:rFonts w:asciiTheme="majorHAnsi" w:eastAsia="Times New Roman" w:hAnsiTheme="majorHAnsi"/>
          <w:color w:val="auto"/>
          <w:sz w:val="22"/>
          <w:szCs w:val="22"/>
          <w:lang w:bidi="x-none"/>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B1BDC" w:rsidRPr="00766771">
        <w:rPr>
          <w:rFonts w:asciiTheme="majorHAnsi" w:hAnsiTheme="majorHAnsi"/>
          <w:sz w:val="22"/>
          <w:szCs w:val="22"/>
        </w:rPr>
        <w:t xml:space="preserve">Fact Sheet No 4. Primary Forests and Carbon, Intact, International Action for Primary Forests </w:t>
      </w:r>
    </w:p>
  </w:endnote>
  <w:endnote w:id="19">
    <w:p w:rsidR="00060A03" w:rsidRPr="00766771" w:rsidRDefault="00060A03" w:rsidP="00060A03">
      <w:pPr>
        <w:pStyle w:val="EndnoteText1"/>
        <w:rPr>
          <w:rFonts w:asciiTheme="majorHAnsi" w:eastAsia="Times New Roman" w:hAnsiTheme="majorHAnsi"/>
          <w:color w:val="auto"/>
          <w:sz w:val="22"/>
          <w:szCs w:val="22"/>
          <w:lang w:bidi="x-none"/>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Presentation for Land use and Forests in the Paris Agreement, real world implications of negative emissions and Bioenergy CCS (BECCS),May 12th &amp; 13th2016, Brussels by Professor Brendan Mackey, Director, Griffith Climate Change Response Program</w:t>
      </w:r>
    </w:p>
  </w:endnote>
  <w:endnote w:id="20">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B1BDC" w:rsidRPr="00766771">
        <w:rPr>
          <w:rFonts w:asciiTheme="majorHAnsi" w:hAnsiTheme="majorHAnsi"/>
          <w:sz w:val="22"/>
          <w:szCs w:val="22"/>
        </w:rPr>
        <w:t>Expanding human population being the first</w:t>
      </w:r>
    </w:p>
  </w:endnote>
  <w:endnote w:id="21">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hyperlink r:id="rId5" w:history="1">
        <w:r w:rsidR="005B1BDC" w:rsidRPr="00766771">
          <w:rPr>
            <w:rStyle w:val="Hyperlink1"/>
            <w:rFonts w:asciiTheme="majorHAnsi" w:hAnsiTheme="majorHAnsi"/>
            <w:color w:val="000000"/>
            <w:szCs w:val="22"/>
          </w:rPr>
          <w:t>https://www.birdlife.org/europe-and-central-asia/black-book</w:t>
        </w:r>
      </w:hyperlink>
    </w:p>
  </w:endnote>
  <w:endnote w:id="22">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B1BDC" w:rsidRPr="00766771">
        <w:rPr>
          <w:rFonts w:asciiTheme="majorHAnsi" w:hAnsiTheme="majorHAnsi"/>
          <w:sz w:val="22"/>
          <w:szCs w:val="22"/>
        </w:rPr>
        <w:t>http://www.ase.tufts.edu/gdae/Pubs/climate/ClimatePolicyBrief8.pdf</w:t>
      </w:r>
    </w:p>
  </w:endnote>
  <w:endnote w:id="23">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proofErr w:type="spellStart"/>
      <w:r w:rsidR="005B1BDC" w:rsidRPr="00766771">
        <w:rPr>
          <w:rFonts w:asciiTheme="majorHAnsi" w:hAnsiTheme="majorHAnsi"/>
          <w:sz w:val="22"/>
          <w:szCs w:val="22"/>
        </w:rPr>
        <w:t>Kuhlmann</w:t>
      </w:r>
      <w:proofErr w:type="spellEnd"/>
      <w:r w:rsidR="005B1BDC" w:rsidRPr="00766771">
        <w:rPr>
          <w:rFonts w:asciiTheme="majorHAnsi" w:hAnsiTheme="majorHAnsi"/>
          <w:sz w:val="22"/>
          <w:szCs w:val="22"/>
        </w:rPr>
        <w:t xml:space="preserve">, Wolfgang and Putt, Peg Are Forests the New Coal – a Global Threat Map of Biomass Energy Development. </w:t>
      </w:r>
      <w:proofErr w:type="gramStart"/>
      <w:r w:rsidR="005B1BDC" w:rsidRPr="00766771">
        <w:rPr>
          <w:rFonts w:asciiTheme="majorHAnsi" w:hAnsiTheme="majorHAnsi"/>
          <w:sz w:val="22"/>
          <w:szCs w:val="22"/>
        </w:rPr>
        <w:t>Environmental Paper Network.</w:t>
      </w:r>
      <w:proofErr w:type="gramEnd"/>
      <w:r w:rsidR="005B1BDC" w:rsidRPr="00766771">
        <w:rPr>
          <w:rFonts w:asciiTheme="majorHAnsi" w:hAnsiTheme="majorHAnsi"/>
          <w:sz w:val="22"/>
          <w:szCs w:val="22"/>
        </w:rPr>
        <w:t xml:space="preserve"> November 2018</w:t>
      </w:r>
    </w:p>
  </w:endnote>
  <w:endnote w:id="24">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B1BDC" w:rsidRPr="00766771">
        <w:rPr>
          <w:rFonts w:asciiTheme="majorHAnsi" w:hAnsiTheme="majorHAnsi"/>
          <w:sz w:val="22"/>
          <w:szCs w:val="22"/>
        </w:rPr>
        <w:t>http://environmentalpaper.org/wp-content/uploads/2018/11/Threat-Map-Briefing-Are-Forests-the-New-Coal-01.pdf</w:t>
      </w:r>
    </w:p>
  </w:endnote>
  <w:endnote w:id="25">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B1BDC" w:rsidRPr="00766771">
        <w:rPr>
          <w:rFonts w:asciiTheme="majorHAnsi" w:hAnsiTheme="majorHAnsi"/>
          <w:sz w:val="22"/>
          <w:szCs w:val="22"/>
        </w:rPr>
        <w:t>Australian Forests &amp; Timber News,  Australia-Japan forest products trade strengthened, 20 December 2018</w:t>
      </w:r>
    </w:p>
  </w:endnote>
  <w:endnote w:id="26">
    <w:p w:rsidR="00E81AB4" w:rsidRPr="00766771" w:rsidRDefault="00E81AB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5B1BDC" w:rsidRPr="00766771">
        <w:rPr>
          <w:rFonts w:asciiTheme="majorHAnsi" w:hAnsiTheme="majorHAnsi"/>
          <w:sz w:val="22"/>
          <w:szCs w:val="22"/>
        </w:rPr>
        <w:t>i.e. an excess of atmospheric carbon that would make possible limiting global warming to the already ‘risky’ 1.5 degrees mandatory to avoid climate change catastrophe)</w:t>
      </w:r>
    </w:p>
  </w:endnote>
  <w:endnote w:id="27">
    <w:p w:rsidR="005B1BDC" w:rsidRPr="00766771" w:rsidRDefault="00E81AB4" w:rsidP="005B1BDC">
      <w:pPr>
        <w:pStyle w:val="9Endnote"/>
        <w:rPr>
          <w:rFonts w:asciiTheme="majorHAnsi" w:eastAsia="Times New Roman" w:hAnsiTheme="majorHAnsi"/>
          <w:color w:val="auto"/>
          <w:szCs w:val="22"/>
          <w:lang w:val="en-AU" w:bidi="x-none"/>
        </w:rPr>
      </w:pPr>
      <w:r w:rsidRPr="00766771">
        <w:rPr>
          <w:rStyle w:val="EndnoteReference"/>
          <w:rFonts w:asciiTheme="majorHAnsi" w:hAnsiTheme="majorHAnsi"/>
          <w:szCs w:val="22"/>
        </w:rPr>
        <w:endnoteRef/>
      </w:r>
      <w:r w:rsidRPr="00766771">
        <w:rPr>
          <w:rFonts w:asciiTheme="majorHAnsi" w:hAnsiTheme="majorHAnsi"/>
          <w:szCs w:val="22"/>
        </w:rPr>
        <w:t xml:space="preserve"> </w:t>
      </w:r>
      <w:r w:rsidR="005B1BDC" w:rsidRPr="00766771">
        <w:rPr>
          <w:rFonts w:asciiTheme="majorHAnsi" w:hAnsiTheme="majorHAnsi"/>
          <w:szCs w:val="22"/>
        </w:rPr>
        <w:t>A carbon budget is an estimate of the total future human-caused greenhouse gas emissions, in tons of carbon, CO</w:t>
      </w:r>
      <w:r w:rsidR="005B1BDC" w:rsidRPr="00766771">
        <w:rPr>
          <w:rFonts w:asciiTheme="majorHAnsi" w:hAnsiTheme="majorHAnsi"/>
          <w:szCs w:val="22"/>
          <w:vertAlign w:val="subscript"/>
        </w:rPr>
        <w:t>2</w:t>
      </w:r>
      <w:r w:rsidR="005B1BDC" w:rsidRPr="00766771">
        <w:rPr>
          <w:rFonts w:asciiTheme="majorHAnsi" w:hAnsiTheme="majorHAnsi"/>
          <w:szCs w:val="22"/>
        </w:rPr>
        <w:t xml:space="preserve"> or CO</w:t>
      </w:r>
      <w:r w:rsidR="005B1BDC" w:rsidRPr="00766771">
        <w:rPr>
          <w:rFonts w:asciiTheme="majorHAnsi" w:hAnsiTheme="majorHAnsi"/>
          <w:szCs w:val="22"/>
          <w:vertAlign w:val="subscript"/>
        </w:rPr>
        <w:t>2</w:t>
      </w:r>
      <w:r w:rsidR="005B1BDC" w:rsidRPr="00766771">
        <w:rPr>
          <w:rFonts w:asciiTheme="majorHAnsi" w:hAnsiTheme="majorHAnsi"/>
          <w:szCs w:val="22"/>
        </w:rPr>
        <w:t xml:space="preserve"> equivalent, that would be consistent with limiting warming to a specified figure, such as 1.5°C or 2°C, with a given risk of exceeding the target, such as a 50, 33 or 10 per cent chance. The carbon budget for limiting global warming to 2 degrees has already been exceeded.  To close the ‘emissions gap’ maximum removal of atmospheric carbon is now ‘non-negotiable’. </w:t>
      </w:r>
    </w:p>
    <w:p w:rsidR="00E81AB4" w:rsidRPr="00766771" w:rsidRDefault="005B1BDC" w:rsidP="005B1BDC">
      <w:pPr>
        <w:pStyle w:val="EndnoteText"/>
        <w:rPr>
          <w:rFonts w:asciiTheme="majorHAnsi" w:hAnsiTheme="majorHAnsi"/>
          <w:sz w:val="22"/>
          <w:szCs w:val="22"/>
        </w:rPr>
      </w:pPr>
      <w:r w:rsidRPr="00766771">
        <w:rPr>
          <w:rFonts w:asciiTheme="majorHAnsi" w:hAnsiTheme="majorHAnsi"/>
          <w:sz w:val="22"/>
          <w:szCs w:val="22"/>
        </w:rPr>
        <w:t xml:space="preserve">‘The most ecologically sound, economical, and scalable ways to accomplish [increasing carbon uptake on land] are by protecting and enhancing natural climate sinks.’ John M. </w:t>
      </w:r>
      <w:proofErr w:type="spellStart"/>
      <w:r w:rsidRPr="00766771">
        <w:rPr>
          <w:rFonts w:asciiTheme="majorHAnsi" w:hAnsiTheme="majorHAnsi"/>
          <w:sz w:val="22"/>
          <w:szCs w:val="22"/>
        </w:rPr>
        <w:t>DeCiccoa</w:t>
      </w:r>
      <w:proofErr w:type="spellEnd"/>
      <w:r w:rsidRPr="00766771">
        <w:rPr>
          <w:rFonts w:asciiTheme="majorHAnsi" w:hAnsiTheme="majorHAnsi"/>
          <w:sz w:val="22"/>
          <w:szCs w:val="22"/>
        </w:rPr>
        <w:t>, and William H. Schlesinger, “Reconsidering bioenergy given the urgency of climate protection”, 9642–9645 | PNAS | September 25, 2018 | vol. 115 | no. 39, www.pnas.org/cgi/doi/10.1073/pnas.1814120115</w:t>
      </w:r>
    </w:p>
  </w:endnote>
  <w:endnote w:id="28">
    <w:p w:rsidR="00EE3544" w:rsidRPr="00766771" w:rsidRDefault="00EE354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CF16F6" w:rsidRPr="00766771">
        <w:rPr>
          <w:rFonts w:asciiTheme="majorHAnsi" w:hAnsiTheme="majorHAnsi"/>
          <w:sz w:val="22"/>
          <w:szCs w:val="22"/>
        </w:rPr>
        <w:t>Presentation for Land use and Forests in the Paris Agreement, real world implications of negative emissions and Bioenergy CCS (BECCS),May 12th &amp; 13th2016, Brussels by Professor Brendan Mackey, Director, Griffith Climate Change Response Program</w:t>
      </w:r>
    </w:p>
  </w:endnote>
  <w:endnote w:id="29">
    <w:p w:rsidR="00EE3544" w:rsidRPr="00766771" w:rsidRDefault="00EE3544" w:rsidP="00766771">
      <w:pPr>
        <w:pStyle w:val="EndnoteText1"/>
        <w:rPr>
          <w:rFonts w:asciiTheme="majorHAnsi" w:eastAsia="Times New Roman" w:hAnsiTheme="majorHAnsi"/>
          <w:color w:val="auto"/>
          <w:sz w:val="22"/>
          <w:szCs w:val="22"/>
          <w:lang w:bidi="x-none"/>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CF16F6" w:rsidRPr="00766771">
        <w:rPr>
          <w:rFonts w:asciiTheme="majorHAnsi" w:hAnsiTheme="majorHAnsi"/>
          <w:sz w:val="22"/>
          <w:szCs w:val="22"/>
        </w:rPr>
        <w:t>From analysis of published global site biomass data (n _ 136) from primary forests, we discovered (</w:t>
      </w:r>
      <w:proofErr w:type="spellStart"/>
      <w:r w:rsidR="00CF16F6" w:rsidRPr="00766771">
        <w:rPr>
          <w:rFonts w:asciiTheme="majorHAnsi" w:hAnsiTheme="majorHAnsi"/>
          <w:sz w:val="22"/>
          <w:szCs w:val="22"/>
        </w:rPr>
        <w:t>i</w:t>
      </w:r>
      <w:proofErr w:type="spellEnd"/>
      <w:r w:rsidR="00CF16F6" w:rsidRPr="00766771">
        <w:rPr>
          <w:rFonts w:asciiTheme="majorHAnsi" w:hAnsiTheme="majorHAnsi"/>
          <w:sz w:val="22"/>
          <w:szCs w:val="22"/>
        </w:rPr>
        <w:t xml:space="preserve">) the world’s highest known total biomass carbon density (living plus dead) of 1,867 tonnes carbon per ha (average value from 13 sites) occurs in Australian temperate moist Eucalyptus </w:t>
      </w:r>
      <w:proofErr w:type="spellStart"/>
      <w:r w:rsidR="00CF16F6" w:rsidRPr="00766771">
        <w:rPr>
          <w:rFonts w:asciiTheme="majorHAnsi" w:hAnsiTheme="majorHAnsi"/>
          <w:sz w:val="22"/>
          <w:szCs w:val="22"/>
        </w:rPr>
        <w:t>regnans</w:t>
      </w:r>
      <w:proofErr w:type="spellEnd"/>
      <w:r w:rsidR="00CF16F6" w:rsidRPr="00766771">
        <w:rPr>
          <w:rFonts w:asciiTheme="majorHAnsi" w:hAnsiTheme="majorHAnsi"/>
          <w:sz w:val="22"/>
          <w:szCs w:val="22"/>
        </w:rPr>
        <w:t xml:space="preserve"> forests, and (ii) average values of the global site biomass data were higher for sampled temperate moist forests (n _44) than for sampled tropical (n _ 36) and boreal (n _ 52) forests (n is number of sites per forest biome). Heather Keith, Brendan G. Mackey, and David B. </w:t>
      </w:r>
      <w:proofErr w:type="spellStart"/>
      <w:r w:rsidR="00CF16F6" w:rsidRPr="00766771">
        <w:rPr>
          <w:rFonts w:asciiTheme="majorHAnsi" w:hAnsiTheme="majorHAnsi"/>
          <w:sz w:val="22"/>
          <w:szCs w:val="22"/>
        </w:rPr>
        <w:t>Lindenmayer</w:t>
      </w:r>
      <w:proofErr w:type="spellEnd"/>
      <w:r w:rsidR="00CF16F6" w:rsidRPr="00766771">
        <w:rPr>
          <w:rFonts w:asciiTheme="majorHAnsi" w:hAnsiTheme="majorHAnsi"/>
          <w:sz w:val="22"/>
          <w:szCs w:val="22"/>
        </w:rPr>
        <w:t>, Re-evaluation of forest biomass carbon stocks</w:t>
      </w:r>
    </w:p>
  </w:endnote>
  <w:endnote w:id="30">
    <w:p w:rsidR="00EE3544" w:rsidRPr="00766771" w:rsidRDefault="00EE354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CF16F6" w:rsidRPr="00766771">
        <w:rPr>
          <w:rFonts w:asciiTheme="majorHAnsi" w:hAnsiTheme="majorHAnsi"/>
          <w:sz w:val="22"/>
          <w:szCs w:val="22"/>
        </w:rPr>
        <w:t>Since global deforestation has resulted in about a third of total anthropogenic CO</w:t>
      </w:r>
      <w:r w:rsidR="00CF16F6" w:rsidRPr="00766771">
        <w:rPr>
          <w:rFonts w:asciiTheme="majorHAnsi" w:hAnsiTheme="majorHAnsi"/>
          <w:sz w:val="22"/>
          <w:szCs w:val="22"/>
          <w:vertAlign w:val="subscript"/>
        </w:rPr>
        <w:t xml:space="preserve">2 </w:t>
      </w:r>
      <w:r w:rsidR="00CF16F6" w:rsidRPr="00766771">
        <w:rPr>
          <w:rFonts w:asciiTheme="majorHAnsi" w:hAnsiTheme="majorHAnsi"/>
          <w:sz w:val="22"/>
          <w:szCs w:val="22"/>
        </w:rPr>
        <w:t xml:space="preserve">emissions since 1850 it is obvious that stopping this process will be fundamental to emission reduction and CDR.  Bagley, J.E. (2011) Impacts of land cover change: energy regulation, breadbasket production, and precipitation. </w:t>
      </w:r>
      <w:proofErr w:type="spellStart"/>
      <w:proofErr w:type="gramStart"/>
      <w:r w:rsidR="00CF16F6" w:rsidRPr="00766771">
        <w:rPr>
          <w:rFonts w:asciiTheme="majorHAnsi" w:hAnsiTheme="majorHAnsi"/>
          <w:color w:val="000000"/>
          <w:sz w:val="22"/>
          <w:szCs w:val="22"/>
        </w:rPr>
        <w:t>Phd</w:t>
      </w:r>
      <w:proofErr w:type="spellEnd"/>
      <w:r w:rsidR="00CF16F6" w:rsidRPr="00766771">
        <w:rPr>
          <w:rFonts w:asciiTheme="majorHAnsi" w:hAnsiTheme="majorHAnsi"/>
          <w:color w:val="000000"/>
          <w:sz w:val="22"/>
          <w:szCs w:val="22"/>
        </w:rPr>
        <w:t>.,</w:t>
      </w:r>
      <w:proofErr w:type="gramEnd"/>
      <w:r w:rsidR="00CF16F6" w:rsidRPr="00766771">
        <w:rPr>
          <w:rFonts w:asciiTheme="majorHAnsi" w:hAnsiTheme="majorHAnsi"/>
          <w:sz w:val="22"/>
          <w:szCs w:val="22"/>
        </w:rPr>
        <w:t xml:space="preserve"> Atmospheric and Oceanic Sciences, University of </w:t>
      </w:r>
      <w:proofErr w:type="spellStart"/>
      <w:r w:rsidR="00CF16F6" w:rsidRPr="00766771">
        <w:rPr>
          <w:rFonts w:asciiTheme="majorHAnsi" w:hAnsiTheme="majorHAnsi"/>
          <w:sz w:val="22"/>
          <w:szCs w:val="22"/>
        </w:rPr>
        <w:t>Winconsin</w:t>
      </w:r>
      <w:proofErr w:type="spellEnd"/>
      <w:r w:rsidR="00CF16F6" w:rsidRPr="00766771">
        <w:rPr>
          <w:rFonts w:asciiTheme="majorHAnsi" w:hAnsiTheme="majorHAnsi"/>
          <w:sz w:val="22"/>
          <w:szCs w:val="22"/>
        </w:rPr>
        <w:t>-Madison.</w:t>
      </w:r>
    </w:p>
  </w:endnote>
  <w:endnote w:id="31">
    <w:p w:rsidR="00EE3544" w:rsidRPr="00766771" w:rsidRDefault="00EE354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CF16F6" w:rsidRPr="00766771">
        <w:rPr>
          <w:rFonts w:asciiTheme="majorHAnsi" w:hAnsiTheme="majorHAnsi"/>
          <w:sz w:val="22"/>
          <w:szCs w:val="22"/>
        </w:rPr>
        <w:t>‘few countries provide annual figures for their land use-related emissions’, The LULUCF Sector: Ever-Difficult Estimations, Climate Chance (2018) Sector-Based Action, Book 1 of The Annual Report Of The Global Observatory On Non-State Climate Action</w:t>
      </w:r>
    </w:p>
  </w:endnote>
  <w:endnote w:id="32">
    <w:p w:rsidR="00CF16F6" w:rsidRPr="00766771" w:rsidRDefault="00EE3544" w:rsidP="00CF16F6">
      <w:pPr>
        <w:pStyle w:val="EndnoteText1"/>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CF16F6" w:rsidRPr="00766771">
        <w:rPr>
          <w:rFonts w:asciiTheme="majorHAnsi" w:hAnsiTheme="majorHAnsi"/>
          <w:color w:val="272727"/>
          <w:sz w:val="22"/>
          <w:szCs w:val="22"/>
        </w:rPr>
        <w:t xml:space="preserve">Modelled 2 °C pathways assume a level of bioenergy production by 2050 that would require doubling the current harvest of all global biomass for all uses (food, feed and fibre) (Dooley et al., 2018; </w:t>
      </w:r>
      <w:proofErr w:type="spellStart"/>
      <w:r w:rsidR="00CF16F6" w:rsidRPr="00766771">
        <w:rPr>
          <w:rFonts w:asciiTheme="majorHAnsi" w:hAnsiTheme="majorHAnsi"/>
          <w:color w:val="272727"/>
          <w:sz w:val="22"/>
          <w:szCs w:val="22"/>
        </w:rPr>
        <w:t>Searchinger</w:t>
      </w:r>
      <w:proofErr w:type="spellEnd"/>
      <w:r w:rsidR="00CF16F6" w:rsidRPr="00766771">
        <w:rPr>
          <w:rFonts w:asciiTheme="majorHAnsi" w:hAnsiTheme="majorHAnsi"/>
          <w:color w:val="272727"/>
          <w:sz w:val="22"/>
          <w:szCs w:val="22"/>
        </w:rPr>
        <w:t xml:space="preserve"> et</w:t>
      </w:r>
      <w:r w:rsidR="00766771" w:rsidRPr="00766771">
        <w:rPr>
          <w:rFonts w:asciiTheme="majorHAnsi" w:hAnsiTheme="majorHAnsi"/>
          <w:color w:val="272727"/>
          <w:sz w:val="22"/>
          <w:szCs w:val="22"/>
        </w:rPr>
        <w:t xml:space="preserve"> </w:t>
      </w:r>
      <w:r w:rsidR="00CF16F6" w:rsidRPr="00766771">
        <w:rPr>
          <w:rFonts w:asciiTheme="majorHAnsi" w:hAnsiTheme="majorHAnsi"/>
          <w:color w:val="272727"/>
          <w:sz w:val="22"/>
          <w:szCs w:val="22"/>
        </w:rPr>
        <w:t xml:space="preserve">al., 2015). </w:t>
      </w:r>
      <w:r w:rsidR="006766F4">
        <w:rPr>
          <w:rFonts w:asciiTheme="majorHAnsi" w:hAnsiTheme="majorHAnsi"/>
          <w:color w:val="272727"/>
          <w:sz w:val="22"/>
          <w:szCs w:val="22"/>
        </w:rPr>
        <w:t>A recent UK report suggests sacrificing up to a third of UK farmland for biomass crops:</w:t>
      </w:r>
      <w:r w:rsidR="006766F4" w:rsidRPr="006766F4">
        <w:t xml:space="preserve"> </w:t>
      </w:r>
      <w:r w:rsidR="006766F4" w:rsidRPr="006766F4">
        <w:rPr>
          <w:rFonts w:asciiTheme="majorHAnsi" w:hAnsiTheme="majorHAnsi"/>
          <w:color w:val="272727"/>
          <w:sz w:val="22"/>
          <w:szCs w:val="22"/>
        </w:rPr>
        <w:t>https://www.thetimes.co.uk/article/britain-must-plant-billions-of-trees-says-committee-on-climate-change-786mpclfr</w:t>
      </w:r>
    </w:p>
    <w:p w:rsidR="00CF16F6" w:rsidRPr="00CF16F6" w:rsidRDefault="00CF16F6" w:rsidP="00CF16F6">
      <w:pPr>
        <w:spacing w:after="0"/>
        <w:rPr>
          <w:rFonts w:asciiTheme="majorHAnsi" w:eastAsia="ヒラギノ角ゴ Pro W3" w:hAnsiTheme="majorHAnsi" w:cs="Times New Roman"/>
          <w:color w:val="000000"/>
          <w:sz w:val="22"/>
        </w:rPr>
      </w:pPr>
      <w:r w:rsidRPr="00CF16F6">
        <w:rPr>
          <w:rFonts w:asciiTheme="majorHAnsi" w:eastAsia="ヒラギノ角ゴ Pro W3" w:hAnsiTheme="majorHAnsi" w:cs="Times New Roman"/>
          <w:color w:val="272727"/>
          <w:sz w:val="22"/>
        </w:rPr>
        <w:t>Field and Mach (2017,p.707) highlight the issues at stake, suggesting that converting land  scale required for bioenergy in many modelled climate change mitigation scenarios would “pit climate change responses against food security and biodiversity protection”. Extracted from “</w:t>
      </w:r>
      <w:r w:rsidRPr="00CF16F6">
        <w:rPr>
          <w:rFonts w:asciiTheme="majorHAnsi" w:eastAsia="ヒラギノ角ゴ Pro W3" w:hAnsiTheme="majorHAnsi" w:cs="Times New Roman"/>
          <w:color w:val="000000"/>
          <w:sz w:val="22"/>
        </w:rPr>
        <w:t xml:space="preserve">The role of the land sector in ambitious climate action: </w:t>
      </w:r>
      <w:r w:rsidRPr="00CF16F6">
        <w:rPr>
          <w:rFonts w:asciiTheme="majorHAnsi" w:eastAsia="ヒラギノ角ゴ Pro W3" w:hAnsiTheme="majorHAnsi" w:cs="Times New Roman"/>
          <w:color w:val="1C1C0B"/>
          <w:sz w:val="22"/>
        </w:rPr>
        <w:t>Missing Pathways to 1.5°C</w:t>
      </w:r>
      <w:r w:rsidRPr="00CF16F6">
        <w:rPr>
          <w:rFonts w:asciiTheme="majorHAnsi" w:eastAsia="ヒラギノ角ゴ Pro W3" w:hAnsiTheme="majorHAnsi" w:cs="Times New Roman"/>
          <w:color w:val="000000"/>
          <w:sz w:val="22"/>
        </w:rPr>
        <w:t xml:space="preserve">, </w:t>
      </w:r>
      <w:r w:rsidRPr="00CF16F6">
        <w:rPr>
          <w:rFonts w:asciiTheme="majorHAnsi" w:eastAsia="ヒラギノ角ゴ Pro W3" w:hAnsiTheme="majorHAnsi" w:cs="Times New Roman"/>
          <w:color w:val="FB3407"/>
          <w:sz w:val="22"/>
        </w:rPr>
        <w:t>CLARA,</w:t>
      </w:r>
      <w:r w:rsidRPr="00CF16F6">
        <w:rPr>
          <w:rFonts w:asciiTheme="majorHAnsi" w:eastAsia="ヒラギノ角ゴ Pro W3" w:hAnsiTheme="majorHAnsi" w:cs="Times New Roman"/>
          <w:color w:val="000000"/>
          <w:sz w:val="22"/>
        </w:rPr>
        <w:t xml:space="preserve"> Climate ambition that safeguards land rights, biodiversity and food sovereignty</w:t>
      </w:r>
    </w:p>
    <w:p w:rsidR="00EE3544" w:rsidRPr="00766771" w:rsidRDefault="00CF16F6" w:rsidP="00CF16F6">
      <w:pPr>
        <w:pStyle w:val="EndnoteText"/>
        <w:rPr>
          <w:rFonts w:asciiTheme="majorHAnsi" w:hAnsiTheme="majorHAnsi"/>
          <w:sz w:val="22"/>
          <w:szCs w:val="22"/>
        </w:rPr>
      </w:pPr>
      <w:proofErr w:type="gramStart"/>
      <w:r w:rsidRPr="00766771">
        <w:rPr>
          <w:rFonts w:asciiTheme="majorHAnsi" w:eastAsia="ヒラギノ角ゴ Pro W3" w:hAnsiTheme="majorHAnsi" w:cs="Times New Roman"/>
          <w:color w:val="000000"/>
          <w:sz w:val="22"/>
          <w:szCs w:val="22"/>
        </w:rPr>
        <w:t>Climate Land Ambition and Rights Alliance.</w:t>
      </w:r>
      <w:proofErr w:type="gramEnd"/>
      <w:r w:rsidRPr="00766771">
        <w:rPr>
          <w:rFonts w:asciiTheme="majorHAnsi" w:eastAsia="ヒラギノ角ゴ Pro W3" w:hAnsiTheme="majorHAnsi" w:cs="Times New Roman"/>
          <w:color w:val="000000"/>
          <w:sz w:val="22"/>
          <w:szCs w:val="22"/>
        </w:rPr>
        <w:t xml:space="preserve"> Lead authors: Kate Dooley, Doreen </w:t>
      </w:r>
      <w:proofErr w:type="spellStart"/>
      <w:r w:rsidRPr="00766771">
        <w:rPr>
          <w:rFonts w:asciiTheme="majorHAnsi" w:eastAsia="ヒラギノ角ゴ Pro W3" w:hAnsiTheme="majorHAnsi" w:cs="Times New Roman"/>
          <w:color w:val="000000"/>
          <w:sz w:val="22"/>
          <w:szCs w:val="22"/>
        </w:rPr>
        <w:t>Stabinsky</w:t>
      </w:r>
      <w:proofErr w:type="spellEnd"/>
      <w:r w:rsidRPr="00766771">
        <w:rPr>
          <w:rFonts w:asciiTheme="majorHAnsi" w:eastAsia="ヒラギノ角ゴ Pro W3" w:hAnsiTheme="majorHAnsi" w:cs="Times New Roman"/>
          <w:color w:val="000000"/>
          <w:sz w:val="22"/>
          <w:szCs w:val="22"/>
        </w:rPr>
        <w:t xml:space="preserve">. Contributing authors: Kelly Stone, </w:t>
      </w:r>
      <w:proofErr w:type="spellStart"/>
      <w:r w:rsidRPr="00766771">
        <w:rPr>
          <w:rFonts w:asciiTheme="majorHAnsi" w:eastAsia="ヒラギノ角ゴ Pro W3" w:hAnsiTheme="majorHAnsi" w:cs="Times New Roman"/>
          <w:color w:val="000000"/>
          <w:sz w:val="22"/>
          <w:szCs w:val="22"/>
        </w:rPr>
        <w:t>Shefali</w:t>
      </w:r>
      <w:proofErr w:type="spellEnd"/>
      <w:r w:rsidRPr="00766771">
        <w:rPr>
          <w:rFonts w:asciiTheme="majorHAnsi" w:eastAsia="ヒラギノ角ゴ Pro W3" w:hAnsiTheme="majorHAnsi" w:cs="Times New Roman"/>
          <w:color w:val="000000"/>
          <w:sz w:val="22"/>
          <w:szCs w:val="22"/>
        </w:rPr>
        <w:t xml:space="preserve"> Sharma, Teresa Anderson, Doug </w:t>
      </w:r>
      <w:proofErr w:type="spellStart"/>
      <w:r w:rsidRPr="00766771">
        <w:rPr>
          <w:rFonts w:asciiTheme="majorHAnsi" w:eastAsia="ヒラギノ角ゴ Pro W3" w:hAnsiTheme="majorHAnsi" w:cs="Times New Roman"/>
          <w:color w:val="000000"/>
          <w:sz w:val="22"/>
          <w:szCs w:val="22"/>
        </w:rPr>
        <w:t>Gurian</w:t>
      </w:r>
      <w:proofErr w:type="spellEnd"/>
      <w:r w:rsidRPr="00766771">
        <w:rPr>
          <w:rFonts w:asciiTheme="majorHAnsi" w:eastAsia="ヒラギノ角ゴ Pro W3" w:hAnsiTheme="majorHAnsi" w:cs="Times New Roman"/>
          <w:color w:val="000000"/>
          <w:sz w:val="22"/>
          <w:szCs w:val="22"/>
        </w:rPr>
        <w:t xml:space="preserve">-Sherman, </w:t>
      </w:r>
      <w:proofErr w:type="gramStart"/>
      <w:r w:rsidRPr="00766771">
        <w:rPr>
          <w:rFonts w:asciiTheme="majorHAnsi" w:eastAsia="ヒラギノ角ゴ Pro W3" w:hAnsiTheme="majorHAnsi" w:cs="Times New Roman"/>
          <w:color w:val="000000"/>
          <w:sz w:val="22"/>
          <w:szCs w:val="22"/>
        </w:rPr>
        <w:t>Peter</w:t>
      </w:r>
      <w:proofErr w:type="gramEnd"/>
      <w:r w:rsidRPr="00766771">
        <w:rPr>
          <w:rFonts w:asciiTheme="majorHAnsi" w:eastAsia="ヒラギノ角ゴ Pro W3" w:hAnsiTheme="majorHAnsi" w:cs="Times New Roman"/>
          <w:color w:val="000000"/>
          <w:sz w:val="22"/>
          <w:szCs w:val="22"/>
        </w:rPr>
        <w:t xml:space="preserve"> Riggs.  Also see: van </w:t>
      </w:r>
      <w:proofErr w:type="spellStart"/>
      <w:r w:rsidRPr="00766771">
        <w:rPr>
          <w:rFonts w:asciiTheme="majorHAnsi" w:eastAsia="ヒラギノ角ゴ Pro W3" w:hAnsiTheme="majorHAnsi" w:cs="Times New Roman"/>
          <w:color w:val="000000"/>
          <w:sz w:val="22"/>
          <w:szCs w:val="22"/>
        </w:rPr>
        <w:t>Vuuren</w:t>
      </w:r>
      <w:proofErr w:type="spellEnd"/>
      <w:r w:rsidRPr="00766771">
        <w:rPr>
          <w:rFonts w:asciiTheme="majorHAnsi" w:eastAsia="ヒラギノ角ゴ Pro W3" w:hAnsiTheme="majorHAnsi" w:cs="Times New Roman"/>
          <w:color w:val="000000"/>
          <w:sz w:val="22"/>
          <w:szCs w:val="22"/>
        </w:rPr>
        <w:t xml:space="preserve"> DP, van Vliet J, </w:t>
      </w:r>
      <w:proofErr w:type="spellStart"/>
      <w:r w:rsidRPr="00766771">
        <w:rPr>
          <w:rFonts w:asciiTheme="majorHAnsi" w:eastAsia="ヒラギノ角ゴ Pro W3" w:hAnsiTheme="majorHAnsi" w:cs="Times New Roman"/>
          <w:color w:val="000000"/>
          <w:sz w:val="22"/>
          <w:szCs w:val="22"/>
        </w:rPr>
        <w:t>Stehfest</w:t>
      </w:r>
      <w:proofErr w:type="spellEnd"/>
      <w:r w:rsidRPr="00766771">
        <w:rPr>
          <w:rFonts w:asciiTheme="majorHAnsi" w:eastAsia="ヒラギノ角ゴ Pro W3" w:hAnsiTheme="majorHAnsi" w:cs="Times New Roman"/>
          <w:color w:val="000000"/>
          <w:sz w:val="22"/>
          <w:szCs w:val="22"/>
        </w:rPr>
        <w:t xml:space="preserve"> E (2009) Future bio-energy potential under various natural constraints. Energy Policy 37:4220–4230.</w:t>
      </w:r>
    </w:p>
  </w:endnote>
  <w:endnote w:id="33">
    <w:p w:rsidR="00EE3544" w:rsidRPr="00766771" w:rsidRDefault="00EE354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CF16F6" w:rsidRPr="00766771">
        <w:rPr>
          <w:rFonts w:asciiTheme="majorHAnsi" w:hAnsiTheme="majorHAnsi"/>
          <w:sz w:val="22"/>
          <w:szCs w:val="22"/>
        </w:rPr>
        <w:t xml:space="preserve">John D. </w:t>
      </w:r>
      <w:proofErr w:type="spellStart"/>
      <w:r w:rsidR="00CF16F6" w:rsidRPr="00766771">
        <w:rPr>
          <w:rFonts w:asciiTheme="majorHAnsi" w:hAnsiTheme="majorHAnsi"/>
          <w:sz w:val="22"/>
          <w:szCs w:val="22"/>
        </w:rPr>
        <w:t>Sterman</w:t>
      </w:r>
      <w:proofErr w:type="spellEnd"/>
      <w:r w:rsidR="00CF16F6" w:rsidRPr="00766771">
        <w:rPr>
          <w:rFonts w:asciiTheme="majorHAnsi" w:hAnsiTheme="majorHAnsi"/>
          <w:sz w:val="22"/>
          <w:szCs w:val="22"/>
        </w:rPr>
        <w:t>, Lori Siegel, and Juliette N. Rooney-</w:t>
      </w:r>
      <w:proofErr w:type="spellStart"/>
      <w:r w:rsidR="00CF16F6" w:rsidRPr="00766771">
        <w:rPr>
          <w:rFonts w:asciiTheme="majorHAnsi" w:hAnsiTheme="majorHAnsi"/>
          <w:sz w:val="22"/>
          <w:szCs w:val="22"/>
        </w:rPr>
        <w:t>Varga</w:t>
      </w:r>
      <w:proofErr w:type="spellEnd"/>
      <w:r w:rsidR="00CF16F6" w:rsidRPr="00766771">
        <w:rPr>
          <w:rFonts w:asciiTheme="majorHAnsi" w:hAnsiTheme="majorHAnsi"/>
          <w:sz w:val="22"/>
          <w:szCs w:val="22"/>
        </w:rPr>
        <w:t>, “Does Replacing Coal with Wood Lower CO 2 Emissions? Dynamic Lifecycle Analysis of Wood Bioenergy,” Environmental Research Letters 13, no. 1 (2018): 015007, https://doi.org/10.1088/1748-9326/aaa512</w:t>
      </w:r>
    </w:p>
  </w:endnote>
  <w:endnote w:id="34">
    <w:p w:rsidR="00EE3544" w:rsidRPr="00766771" w:rsidRDefault="00EE354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CF16F6" w:rsidRPr="00766771">
        <w:rPr>
          <w:rFonts w:asciiTheme="majorHAnsi" w:hAnsiTheme="majorHAnsi"/>
          <w:sz w:val="22"/>
          <w:szCs w:val="22"/>
        </w:rPr>
        <w:t xml:space="preserve">William R. </w:t>
      </w:r>
      <w:proofErr w:type="spellStart"/>
      <w:r w:rsidR="00CF16F6" w:rsidRPr="00766771">
        <w:rPr>
          <w:rFonts w:asciiTheme="majorHAnsi" w:hAnsiTheme="majorHAnsi"/>
          <w:sz w:val="22"/>
          <w:szCs w:val="22"/>
        </w:rPr>
        <w:t>Moomaw</w:t>
      </w:r>
      <w:proofErr w:type="spellEnd"/>
      <w:r w:rsidR="00CF16F6" w:rsidRPr="00766771">
        <w:rPr>
          <w:rFonts w:asciiTheme="majorHAnsi" w:hAnsiTheme="majorHAnsi"/>
          <w:sz w:val="22"/>
          <w:szCs w:val="22"/>
        </w:rPr>
        <w:t xml:space="preserve">, EU bioenergy policies will increase carbon dioxide concentrations, Climate Policy Brief No. 7: Tufts University 2018, </w:t>
      </w:r>
      <w:hyperlink r:id="rId6" w:history="1">
        <w:r w:rsidR="00CF16F6" w:rsidRPr="00766771">
          <w:rPr>
            <w:rFonts w:asciiTheme="majorHAnsi" w:hAnsiTheme="majorHAnsi"/>
            <w:sz w:val="22"/>
            <w:szCs w:val="22"/>
          </w:rPr>
          <w:t>http://ase.tufts.edu/gdae/Pubs/climate/ClimatePolicyBrief7.pdf</w:t>
        </w:r>
      </w:hyperlink>
      <w:r w:rsidR="00CF16F6" w:rsidRPr="00766771">
        <w:rPr>
          <w:rFonts w:asciiTheme="majorHAnsi" w:hAnsiTheme="majorHAnsi"/>
          <w:sz w:val="22"/>
          <w:szCs w:val="22"/>
        </w:rPr>
        <w:t xml:space="preserve"> and Booth, Mary, Biomass Amendments in Recent Federal Legislation, Presentation, Partnership for Policy Integrity, 2016.</w:t>
      </w:r>
    </w:p>
  </w:endnote>
  <w:endnote w:id="35">
    <w:p w:rsidR="00EE3544" w:rsidRPr="00766771" w:rsidRDefault="00EE354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CF16F6" w:rsidRPr="00766771">
        <w:rPr>
          <w:rFonts w:asciiTheme="majorHAnsi" w:hAnsiTheme="majorHAnsi"/>
          <w:sz w:val="22"/>
          <w:szCs w:val="22"/>
        </w:rPr>
        <w:t>(</w:t>
      </w:r>
      <w:proofErr w:type="spellStart"/>
      <w:r w:rsidR="00CF16F6" w:rsidRPr="00766771">
        <w:rPr>
          <w:rFonts w:asciiTheme="majorHAnsi" w:hAnsiTheme="majorHAnsi"/>
          <w:sz w:val="22"/>
          <w:szCs w:val="22"/>
        </w:rPr>
        <w:t>DeCicco</w:t>
      </w:r>
      <w:proofErr w:type="spellEnd"/>
      <w:r w:rsidR="00CF16F6" w:rsidRPr="00766771">
        <w:rPr>
          <w:rFonts w:asciiTheme="majorHAnsi" w:hAnsiTheme="majorHAnsi"/>
          <w:sz w:val="22"/>
          <w:szCs w:val="22"/>
        </w:rPr>
        <w:t xml:space="preserve"> and Schlesinger, 2018; </w:t>
      </w:r>
      <w:proofErr w:type="spellStart"/>
      <w:r w:rsidR="00CF16F6" w:rsidRPr="00766771">
        <w:rPr>
          <w:rFonts w:asciiTheme="majorHAnsi" w:hAnsiTheme="majorHAnsi"/>
          <w:sz w:val="22"/>
          <w:szCs w:val="22"/>
        </w:rPr>
        <w:t>Searchinger</w:t>
      </w:r>
      <w:proofErr w:type="spellEnd"/>
      <w:r w:rsidR="00CF16F6" w:rsidRPr="00766771">
        <w:rPr>
          <w:rFonts w:asciiTheme="majorHAnsi" w:hAnsiTheme="majorHAnsi"/>
          <w:sz w:val="22"/>
          <w:szCs w:val="22"/>
        </w:rPr>
        <w:t xml:space="preserve"> et al., 2017; Smyth et al., 2014; </w:t>
      </w:r>
      <w:proofErr w:type="spellStart"/>
      <w:r w:rsidR="00CF16F6" w:rsidRPr="00766771">
        <w:rPr>
          <w:rFonts w:asciiTheme="majorHAnsi" w:hAnsiTheme="majorHAnsi"/>
          <w:sz w:val="22"/>
          <w:szCs w:val="22"/>
        </w:rPr>
        <w:t>Sterman</w:t>
      </w:r>
      <w:proofErr w:type="spellEnd"/>
      <w:r w:rsidR="00CF16F6" w:rsidRPr="00766771">
        <w:rPr>
          <w:rFonts w:asciiTheme="majorHAnsi" w:hAnsiTheme="majorHAnsi"/>
          <w:sz w:val="22"/>
          <w:szCs w:val="22"/>
        </w:rPr>
        <w:t xml:space="preserve"> et al., 2018) and https://www.chathamhouse.org/publication/woody-biomass-power-and-heat-impacts-global-climate, https://www.chathamhouse.org/publication/impacts-demand-woody-biomass-power-and-heat-climate-and-forests</w:t>
      </w:r>
    </w:p>
  </w:endnote>
  <w:endnote w:id="36">
    <w:p w:rsidR="00EE3544" w:rsidRPr="00766771" w:rsidRDefault="00EE354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00CF16F6" w:rsidRPr="00766771">
        <w:rPr>
          <w:rFonts w:asciiTheme="majorHAnsi" w:hAnsiTheme="majorHAnsi"/>
          <w:sz w:val="22"/>
          <w:szCs w:val="22"/>
        </w:rPr>
        <w:t xml:space="preserve"> Increased atmospheric concentrations from burning bioenergy will worsen irreversible impacts of climate change before forests eventually grow back to compensate (Booth, 2018; Courvoisier et al., 2017 Schlesinger, 2018).</w:t>
      </w:r>
    </w:p>
  </w:endnote>
  <w:endnote w:id="37">
    <w:p w:rsidR="00EE3544" w:rsidRPr="00766771" w:rsidRDefault="00EE354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00CF16F6" w:rsidRPr="00766771">
        <w:rPr>
          <w:rFonts w:asciiTheme="majorHAnsi" w:hAnsiTheme="majorHAnsi"/>
          <w:sz w:val="22"/>
          <w:szCs w:val="22"/>
        </w:rPr>
        <w:t xml:space="preserve"> </w:t>
      </w:r>
      <w:proofErr w:type="gramStart"/>
      <w:r w:rsidR="00CF16F6" w:rsidRPr="00766771">
        <w:rPr>
          <w:rFonts w:asciiTheme="majorHAnsi" w:hAnsiTheme="majorHAnsi"/>
          <w:sz w:val="22"/>
          <w:szCs w:val="22"/>
        </w:rPr>
        <w:t>Smith, et al., (2014).</w:t>
      </w:r>
      <w:proofErr w:type="gramEnd"/>
      <w:r w:rsidR="00CF16F6" w:rsidRPr="00766771">
        <w:rPr>
          <w:rFonts w:asciiTheme="majorHAnsi" w:hAnsiTheme="majorHAnsi"/>
          <w:sz w:val="22"/>
          <w:szCs w:val="22"/>
        </w:rPr>
        <w:t xml:space="preserve"> Agriculture, Forestry, and Other Land Use (AFOLU). Intergovernmental Panel on Climate </w:t>
      </w:r>
      <w:proofErr w:type="gramStart"/>
      <w:r w:rsidR="00CF16F6" w:rsidRPr="00766771">
        <w:rPr>
          <w:rFonts w:asciiTheme="majorHAnsi" w:hAnsiTheme="majorHAnsi"/>
          <w:sz w:val="22"/>
          <w:szCs w:val="22"/>
        </w:rPr>
        <w:t>Change(</w:t>
      </w:r>
      <w:proofErr w:type="gramEnd"/>
      <w:r w:rsidR="00CF16F6" w:rsidRPr="00766771">
        <w:rPr>
          <w:rFonts w:asciiTheme="majorHAnsi" w:hAnsiTheme="majorHAnsi"/>
          <w:sz w:val="22"/>
          <w:szCs w:val="22"/>
        </w:rPr>
        <w:t>IPCC). Accessed: https://archive.ipcc.ch/pdf/assessment-report/ar5/wg3/ipcc_wg3_ar5_chapter11.pdf</w:t>
      </w:r>
      <w:r w:rsidRPr="00766771">
        <w:rPr>
          <w:rFonts w:asciiTheme="majorHAnsi" w:hAnsiTheme="majorHAnsi"/>
          <w:sz w:val="22"/>
          <w:szCs w:val="22"/>
        </w:rPr>
        <w:t xml:space="preserve"> </w:t>
      </w:r>
    </w:p>
  </w:endnote>
  <w:endnote w:id="38">
    <w:p w:rsidR="00EE3544" w:rsidRPr="00766771" w:rsidRDefault="00EE354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00CF16F6" w:rsidRPr="00766771">
        <w:rPr>
          <w:rFonts w:asciiTheme="majorHAnsi" w:hAnsiTheme="majorHAnsi"/>
          <w:sz w:val="22"/>
          <w:szCs w:val="22"/>
        </w:rPr>
        <w:t xml:space="preserve">Christopher Dean, James B. Kirkpatrick, Andrew J. </w:t>
      </w:r>
      <w:proofErr w:type="spellStart"/>
      <w:r w:rsidR="00CF16F6" w:rsidRPr="00766771">
        <w:rPr>
          <w:rFonts w:asciiTheme="majorHAnsi" w:hAnsiTheme="majorHAnsi"/>
          <w:sz w:val="22"/>
          <w:szCs w:val="22"/>
        </w:rPr>
        <w:t>Friedland</w:t>
      </w:r>
      <w:proofErr w:type="spellEnd"/>
      <w:r w:rsidR="00CF16F6" w:rsidRPr="00766771">
        <w:rPr>
          <w:rFonts w:asciiTheme="majorHAnsi" w:hAnsiTheme="majorHAnsi"/>
          <w:sz w:val="22"/>
          <w:szCs w:val="22"/>
        </w:rPr>
        <w:t>, Conventional intensive logging promotes loss of organic carbon from the mineral soil, 2016,https://doi.org/10.1111/gcb.13387</w:t>
      </w:r>
      <w:r w:rsidRPr="00766771">
        <w:rPr>
          <w:rFonts w:asciiTheme="majorHAnsi" w:hAnsiTheme="majorHAnsi"/>
          <w:sz w:val="22"/>
          <w:szCs w:val="22"/>
        </w:rPr>
        <w:t xml:space="preserve"> </w:t>
      </w:r>
    </w:p>
  </w:endnote>
  <w:endnote w:id="39">
    <w:p w:rsidR="00CF16F6" w:rsidRPr="00766771" w:rsidRDefault="00EE3544" w:rsidP="00CF16F6">
      <w:pPr>
        <w:pStyle w:val="9Endnote"/>
        <w:rPr>
          <w:rFonts w:asciiTheme="majorHAnsi" w:hAnsiTheme="majorHAnsi"/>
          <w:szCs w:val="22"/>
        </w:rPr>
      </w:pPr>
      <w:r w:rsidRPr="00766771">
        <w:rPr>
          <w:rStyle w:val="EndnoteReference"/>
          <w:rFonts w:asciiTheme="majorHAnsi" w:hAnsiTheme="majorHAnsi"/>
          <w:szCs w:val="22"/>
        </w:rPr>
        <w:endnoteRef/>
      </w:r>
      <w:r w:rsidR="00CF16F6" w:rsidRPr="00766771">
        <w:rPr>
          <w:rFonts w:asciiTheme="majorHAnsi" w:hAnsiTheme="majorHAnsi"/>
          <w:szCs w:val="22"/>
        </w:rPr>
        <w:t>Carbon neutral residue rhetoric promulgated by state forest agencies:</w:t>
      </w:r>
    </w:p>
    <w:p w:rsidR="00CF16F6" w:rsidRPr="00766771" w:rsidRDefault="00CF16F6" w:rsidP="00CF16F6">
      <w:pPr>
        <w:pStyle w:val="9Endnote"/>
        <w:rPr>
          <w:rFonts w:asciiTheme="majorHAnsi" w:hAnsiTheme="majorHAnsi"/>
          <w:szCs w:val="22"/>
        </w:rPr>
      </w:pPr>
      <w:r w:rsidRPr="00766771">
        <w:rPr>
          <w:rFonts w:asciiTheme="majorHAnsi" w:hAnsiTheme="majorHAnsi"/>
          <w:szCs w:val="22"/>
        </w:rPr>
        <w:t xml:space="preserve">Within the same document Department of Primary Industry researchers advise their studies focused on quantities of forest biomass available from </w:t>
      </w:r>
      <w:r w:rsidRPr="00766771">
        <w:rPr>
          <w:rFonts w:asciiTheme="majorHAnsi" w:hAnsiTheme="majorHAnsi"/>
          <w:color w:val="FB0006"/>
          <w:szCs w:val="22"/>
        </w:rPr>
        <w:t>whole trees</w:t>
      </w:r>
      <w:r w:rsidRPr="00766771">
        <w:rPr>
          <w:rFonts w:asciiTheme="majorHAnsi" w:hAnsiTheme="majorHAnsi"/>
          <w:szCs w:val="22"/>
        </w:rPr>
        <w:t xml:space="preserve"> (due to the inefficiencies of transporting actual logging residue) yet counter criticism of using forestry residues for en</w:t>
      </w:r>
      <w:r w:rsidR="00766771">
        <w:rPr>
          <w:rFonts w:asciiTheme="majorHAnsi" w:hAnsiTheme="majorHAnsi"/>
          <w:szCs w:val="22"/>
        </w:rPr>
        <w:t>ergy generation by arguing that:</w:t>
      </w:r>
    </w:p>
    <w:p w:rsidR="00CF16F6" w:rsidRPr="00766771" w:rsidRDefault="00CF16F6" w:rsidP="00CF16F6">
      <w:pPr>
        <w:pStyle w:val="9Endnote"/>
        <w:rPr>
          <w:rFonts w:asciiTheme="majorHAnsi" w:hAnsiTheme="majorHAnsi"/>
          <w:szCs w:val="22"/>
        </w:rPr>
      </w:pPr>
      <w:r w:rsidRPr="00766771">
        <w:rPr>
          <w:rFonts w:asciiTheme="majorHAnsi" w:hAnsiTheme="majorHAnsi"/>
          <w:szCs w:val="22"/>
        </w:rPr>
        <w:t xml:space="preserve">“The greenhouse gas balance carried out here clearly shows that, from a climate perspective, using biomass that would have otherwise been left in the forest to burn and/or decay for bioenergy generation results in positive outcomes, especially if biomass is used to produce electricity displacing the use of coal. This is true even when the carbon dioxide emissions from burning the biomass to generate energy are included in the calculations. In practice, the CO2 released will be reabsorbed by the growing trees in a sustainable harvest system, eventually negating the impact of such emissions, p.3.  Later, (on p.6), </w:t>
      </w:r>
      <w:r w:rsidRPr="00766771">
        <w:rPr>
          <w:rFonts w:asciiTheme="majorHAnsi" w:hAnsiTheme="majorHAnsi"/>
          <w:color w:val="FB0006"/>
          <w:szCs w:val="22"/>
        </w:rPr>
        <w:t>forest residues again become whole logs</w:t>
      </w:r>
      <w:r w:rsidRPr="00766771">
        <w:rPr>
          <w:rFonts w:asciiTheme="majorHAnsi" w:hAnsiTheme="majorHAnsi"/>
          <w:szCs w:val="22"/>
        </w:rPr>
        <w:t>: 1.2 Forest harvest residues: 1.2.1 Native forests – Public:</w:t>
      </w:r>
    </w:p>
    <w:p w:rsidR="00CF16F6" w:rsidRPr="00766771" w:rsidRDefault="00CF16F6" w:rsidP="00CF16F6">
      <w:pPr>
        <w:pStyle w:val="9Endnote"/>
        <w:ind w:left="680" w:right="680"/>
        <w:rPr>
          <w:rFonts w:asciiTheme="majorHAnsi" w:hAnsiTheme="majorHAnsi"/>
          <w:szCs w:val="22"/>
        </w:rPr>
      </w:pPr>
      <w:r w:rsidRPr="00766771">
        <w:rPr>
          <w:rFonts w:asciiTheme="majorHAnsi" w:hAnsiTheme="majorHAnsi"/>
          <w:szCs w:val="22"/>
        </w:rPr>
        <w:t xml:space="preserve">“For native forests, residue estimations were conservative, as we only considered logs that met the specifications for pulpwood as available for extraction (typically 10 cm small end diameter </w:t>
      </w:r>
      <w:proofErr w:type="spellStart"/>
      <w:r w:rsidRPr="00766771">
        <w:rPr>
          <w:rFonts w:asciiTheme="majorHAnsi" w:hAnsiTheme="majorHAnsi"/>
          <w:szCs w:val="22"/>
        </w:rPr>
        <w:t>overbark</w:t>
      </w:r>
      <w:proofErr w:type="spellEnd"/>
      <w:r w:rsidRPr="00766771">
        <w:rPr>
          <w:rFonts w:asciiTheme="majorHAnsi" w:hAnsiTheme="majorHAnsi"/>
          <w:szCs w:val="22"/>
        </w:rPr>
        <w:t>, and a minimum of 2.5 m in length – no species restrictions – and the crown was typically left in the forest). This was partly due to the fact that the local industry already has experience harvesting and transporting pulpwood from the forest.” North Coast Residues: A project undertaken as part of the 2023 North Coast Forestry Project</w:t>
      </w:r>
    </w:p>
    <w:p w:rsidR="00EE3544" w:rsidRPr="00766771" w:rsidRDefault="00CF16F6" w:rsidP="00CF16F6">
      <w:pPr>
        <w:pStyle w:val="EndnoteText"/>
        <w:rPr>
          <w:rFonts w:asciiTheme="majorHAnsi" w:hAnsiTheme="majorHAnsi"/>
          <w:sz w:val="22"/>
          <w:szCs w:val="22"/>
        </w:rPr>
      </w:pPr>
      <w:proofErr w:type="gramStart"/>
      <w:r w:rsidRPr="00766771">
        <w:rPr>
          <w:rFonts w:asciiTheme="majorHAnsi" w:hAnsiTheme="majorHAnsi"/>
          <w:sz w:val="22"/>
          <w:szCs w:val="22"/>
        </w:rPr>
        <w:t>Published by the NSW Department of Primary Industries, November 2017.</w:t>
      </w:r>
      <w:proofErr w:type="gramEnd"/>
      <w:r w:rsidRPr="00766771">
        <w:rPr>
          <w:rFonts w:asciiTheme="majorHAnsi" w:hAnsiTheme="majorHAnsi"/>
          <w:sz w:val="22"/>
          <w:szCs w:val="22"/>
        </w:rPr>
        <w:t xml:space="preserve">  Authors: Fabiano </w:t>
      </w:r>
      <w:proofErr w:type="spellStart"/>
      <w:r w:rsidRPr="00766771">
        <w:rPr>
          <w:rFonts w:asciiTheme="majorHAnsi" w:hAnsiTheme="majorHAnsi"/>
          <w:sz w:val="22"/>
          <w:szCs w:val="22"/>
        </w:rPr>
        <w:t>Ximenes</w:t>
      </w:r>
      <w:proofErr w:type="spellEnd"/>
      <w:r w:rsidRPr="00766771">
        <w:rPr>
          <w:rFonts w:asciiTheme="majorHAnsi" w:hAnsiTheme="majorHAnsi"/>
          <w:sz w:val="22"/>
          <w:szCs w:val="22"/>
        </w:rPr>
        <w:t xml:space="preserve">, Rebecca Coburn, Michael McLean, John Samuel, Nick Cameron, Brad Law, </w:t>
      </w:r>
      <w:proofErr w:type="spellStart"/>
      <w:r w:rsidRPr="00766771">
        <w:rPr>
          <w:rFonts w:asciiTheme="majorHAnsi" w:hAnsiTheme="majorHAnsi"/>
          <w:sz w:val="22"/>
          <w:szCs w:val="22"/>
        </w:rPr>
        <w:t>Caragh</w:t>
      </w:r>
      <w:proofErr w:type="spellEnd"/>
      <w:r w:rsidRPr="00766771">
        <w:rPr>
          <w:rFonts w:asciiTheme="majorHAnsi" w:hAnsiTheme="majorHAnsi"/>
          <w:sz w:val="22"/>
          <w:szCs w:val="22"/>
        </w:rPr>
        <w:t xml:space="preserve"> </w:t>
      </w:r>
      <w:proofErr w:type="spellStart"/>
      <w:r w:rsidRPr="00766771">
        <w:rPr>
          <w:rFonts w:asciiTheme="majorHAnsi" w:hAnsiTheme="majorHAnsi"/>
          <w:sz w:val="22"/>
          <w:szCs w:val="22"/>
        </w:rPr>
        <w:t>Threllfall</w:t>
      </w:r>
      <w:proofErr w:type="spellEnd"/>
      <w:r w:rsidRPr="00766771">
        <w:rPr>
          <w:rFonts w:asciiTheme="majorHAnsi" w:hAnsiTheme="majorHAnsi"/>
          <w:sz w:val="22"/>
          <w:szCs w:val="22"/>
        </w:rPr>
        <w:t>, Kate Wright and Shane Macintosh</w:t>
      </w:r>
      <w:r w:rsidR="00EE3544" w:rsidRPr="00766771">
        <w:rPr>
          <w:rFonts w:asciiTheme="majorHAnsi" w:hAnsiTheme="majorHAnsi"/>
          <w:sz w:val="22"/>
          <w:szCs w:val="22"/>
        </w:rPr>
        <w:t xml:space="preserve"> </w:t>
      </w:r>
    </w:p>
  </w:endnote>
  <w:endnote w:id="40">
    <w:p w:rsidR="00EE3544" w:rsidRPr="00632107" w:rsidRDefault="00EE3544">
      <w:pPr>
        <w:pStyle w:val="EndnoteText"/>
        <w:rPr>
          <w:rFonts w:asciiTheme="majorHAnsi" w:hAnsiTheme="majorHAnsi"/>
          <w:sz w:val="22"/>
          <w:szCs w:val="22"/>
        </w:rPr>
      </w:pPr>
      <w:r w:rsidRPr="00766771">
        <w:rPr>
          <w:rStyle w:val="EndnoteReference"/>
          <w:rFonts w:asciiTheme="majorHAnsi" w:hAnsiTheme="majorHAnsi"/>
          <w:sz w:val="22"/>
          <w:szCs w:val="22"/>
        </w:rPr>
        <w:endnoteRef/>
      </w:r>
      <w:r w:rsidRPr="00766771">
        <w:rPr>
          <w:rFonts w:asciiTheme="majorHAnsi" w:hAnsiTheme="majorHAnsi"/>
          <w:sz w:val="22"/>
          <w:szCs w:val="22"/>
        </w:rPr>
        <w:t xml:space="preserve"> </w:t>
      </w:r>
      <w:r w:rsidR="00CF16F6" w:rsidRPr="00632107">
        <w:rPr>
          <w:rFonts w:asciiTheme="majorHAnsi" w:hAnsiTheme="majorHAnsi"/>
          <w:sz w:val="22"/>
          <w:szCs w:val="22"/>
        </w:rPr>
        <w:t>Australian National Forest Policy Statement, Commonwealth of Australia 1992, 1995</w:t>
      </w:r>
    </w:p>
  </w:endnote>
  <w:endnote w:id="41">
    <w:p w:rsidR="00766771" w:rsidRPr="00632107" w:rsidRDefault="00EE3544" w:rsidP="00766771">
      <w:pPr>
        <w:pStyle w:val="9Endnote"/>
        <w:rPr>
          <w:rFonts w:asciiTheme="majorHAnsi" w:hAnsiTheme="majorHAnsi"/>
          <w:szCs w:val="22"/>
        </w:rPr>
      </w:pPr>
      <w:r w:rsidRPr="00632107">
        <w:rPr>
          <w:rStyle w:val="EndnoteReference"/>
          <w:rFonts w:asciiTheme="majorHAnsi" w:hAnsiTheme="majorHAnsi"/>
          <w:szCs w:val="22"/>
        </w:rPr>
        <w:endnoteRef/>
      </w:r>
      <w:r w:rsidRPr="00632107">
        <w:rPr>
          <w:rFonts w:asciiTheme="majorHAnsi" w:hAnsiTheme="majorHAnsi"/>
          <w:szCs w:val="22"/>
        </w:rPr>
        <w:t xml:space="preserve"> </w:t>
      </w:r>
      <w:r w:rsidR="00766771" w:rsidRPr="00632107">
        <w:rPr>
          <w:rFonts w:asciiTheme="majorHAnsi" w:hAnsiTheme="majorHAnsi"/>
          <w:szCs w:val="22"/>
        </w:rPr>
        <w:t>Under ESFM principles, Australian forest management should:</w:t>
      </w:r>
    </w:p>
    <w:p w:rsidR="00766771" w:rsidRPr="00632107" w:rsidRDefault="00766771" w:rsidP="00766771">
      <w:pPr>
        <w:pStyle w:val="9EndnoteNumberedList"/>
        <w:numPr>
          <w:ilvl w:val="0"/>
          <w:numId w:val="4"/>
        </w:numPr>
        <w:tabs>
          <w:tab w:val="clear" w:pos="360"/>
          <w:tab w:val="num" w:pos="1400"/>
        </w:tabs>
        <w:ind w:left="1400" w:hanging="360"/>
        <w:rPr>
          <w:rFonts w:asciiTheme="majorHAnsi" w:hAnsiTheme="majorHAnsi"/>
          <w:sz w:val="22"/>
          <w:szCs w:val="22"/>
        </w:rPr>
      </w:pPr>
      <w:r w:rsidRPr="00632107">
        <w:rPr>
          <w:rFonts w:asciiTheme="majorHAnsi" w:hAnsiTheme="majorHAnsi"/>
          <w:sz w:val="22"/>
          <w:szCs w:val="22"/>
        </w:rPr>
        <w:t>Maintain the ecological processes within forests (the formation of soil, energy flows and the carbon, nutrient and water cycles);</w:t>
      </w:r>
    </w:p>
    <w:p w:rsidR="00766771" w:rsidRPr="00632107" w:rsidRDefault="00766771" w:rsidP="00766771">
      <w:pPr>
        <w:pStyle w:val="9EndnoteNumberedList"/>
        <w:numPr>
          <w:ilvl w:val="0"/>
          <w:numId w:val="4"/>
        </w:numPr>
        <w:tabs>
          <w:tab w:val="clear" w:pos="360"/>
          <w:tab w:val="num" w:pos="1400"/>
        </w:tabs>
        <w:ind w:left="1400" w:hanging="360"/>
        <w:rPr>
          <w:rFonts w:asciiTheme="majorHAnsi" w:hAnsiTheme="majorHAnsi"/>
          <w:sz w:val="22"/>
          <w:szCs w:val="22"/>
        </w:rPr>
      </w:pPr>
      <w:r w:rsidRPr="00632107">
        <w:rPr>
          <w:rFonts w:asciiTheme="majorHAnsi" w:hAnsiTheme="majorHAnsi"/>
          <w:sz w:val="22"/>
          <w:szCs w:val="22"/>
        </w:rPr>
        <w:t>Maintain the biological diversity of forests; and</w:t>
      </w:r>
    </w:p>
    <w:p w:rsidR="0054353F" w:rsidRPr="00632107" w:rsidRDefault="00766771" w:rsidP="000254D6">
      <w:pPr>
        <w:pStyle w:val="9EndnoteNumberedList"/>
        <w:numPr>
          <w:ilvl w:val="0"/>
          <w:numId w:val="4"/>
        </w:numPr>
        <w:tabs>
          <w:tab w:val="clear" w:pos="360"/>
          <w:tab w:val="num" w:pos="1400"/>
        </w:tabs>
        <w:ind w:left="1400" w:hanging="360"/>
        <w:rPr>
          <w:rFonts w:asciiTheme="majorHAnsi" w:hAnsiTheme="majorHAnsi"/>
          <w:sz w:val="22"/>
          <w:szCs w:val="22"/>
        </w:rPr>
      </w:pPr>
      <w:r w:rsidRPr="00632107">
        <w:rPr>
          <w:rFonts w:asciiTheme="majorHAnsi" w:hAnsiTheme="majorHAnsi"/>
          <w:sz w:val="22"/>
          <w:szCs w:val="22"/>
        </w:rPr>
        <w:t>Optimize the environmental, economic and social benefits to the community within ecological constraints.</w:t>
      </w:r>
    </w:p>
  </w:endnote>
  <w:endnote w:id="42">
    <w:p w:rsidR="000254D6" w:rsidRPr="00632107" w:rsidRDefault="000254D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Ignored also is the fact that net emissions from forestry residues burned as fuel are also significant over the mid-term (20-40 years). </w:t>
      </w:r>
      <w:proofErr w:type="gramStart"/>
      <w:r w:rsidRPr="00632107">
        <w:rPr>
          <w:rFonts w:asciiTheme="majorHAnsi" w:hAnsiTheme="majorHAnsi"/>
        </w:rPr>
        <w:t>Partnership for Policy Integrity.</w:t>
      </w:r>
      <w:proofErr w:type="gramEnd"/>
    </w:p>
  </w:endnote>
  <w:endnote w:id="43">
    <w:p w:rsidR="000254D6" w:rsidRPr="00632107" w:rsidRDefault="000254D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w:t>
      </w:r>
      <w:r w:rsidRPr="00632107">
        <w:rPr>
          <w:rFonts w:asciiTheme="majorHAnsi" w:hAnsiTheme="majorHAnsi"/>
          <w:kern w:val="24"/>
          <w:sz w:val="22"/>
        </w:rPr>
        <w:t xml:space="preserve">Brendan G. Mackey, Heather Keith, Sandra L. Berry and David B. </w:t>
      </w:r>
      <w:proofErr w:type="spellStart"/>
      <w:r w:rsidRPr="00632107">
        <w:rPr>
          <w:rFonts w:asciiTheme="majorHAnsi" w:hAnsiTheme="majorHAnsi"/>
          <w:kern w:val="24"/>
          <w:sz w:val="22"/>
        </w:rPr>
        <w:t>Lindenmayer</w:t>
      </w:r>
      <w:proofErr w:type="spellEnd"/>
      <w:r w:rsidRPr="00632107">
        <w:rPr>
          <w:rFonts w:asciiTheme="majorHAnsi" w:hAnsiTheme="majorHAnsi"/>
          <w:kern w:val="24"/>
          <w:sz w:val="22"/>
        </w:rPr>
        <w:t xml:space="preserve">, Green Carbon: The role of natural forests in carbon storage: Part 1. A green carbon account of Australia’s south-eastern Eucalypt forests, and policy implications, The </w:t>
      </w:r>
      <w:proofErr w:type="spellStart"/>
      <w:r w:rsidRPr="00632107">
        <w:rPr>
          <w:rFonts w:asciiTheme="majorHAnsi" w:hAnsiTheme="majorHAnsi"/>
          <w:kern w:val="24"/>
          <w:sz w:val="22"/>
        </w:rPr>
        <w:t>Fenner</w:t>
      </w:r>
      <w:proofErr w:type="spellEnd"/>
      <w:r w:rsidRPr="00632107">
        <w:rPr>
          <w:rFonts w:asciiTheme="majorHAnsi" w:hAnsiTheme="majorHAnsi"/>
          <w:kern w:val="24"/>
          <w:sz w:val="22"/>
        </w:rPr>
        <w:t xml:space="preserve"> School of Environment &amp; Society, The Australian National University, 2008 </w:t>
      </w:r>
      <w:r w:rsidRPr="00632107">
        <w:rPr>
          <w:rFonts w:asciiTheme="majorHAnsi" w:hAnsiTheme="majorHAnsi"/>
          <w:kern w:val="24"/>
        </w:rPr>
        <w:t xml:space="preserve"> </w:t>
      </w:r>
    </w:p>
  </w:endnote>
  <w:endnote w:id="44">
    <w:p w:rsidR="000254D6" w:rsidRPr="00632107" w:rsidRDefault="000254D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From analysis of published global site biomass data (n _ 136) from primary forests, we discovered (</w:t>
      </w:r>
      <w:proofErr w:type="spellStart"/>
      <w:r w:rsidRPr="00632107">
        <w:rPr>
          <w:rFonts w:asciiTheme="majorHAnsi" w:hAnsiTheme="majorHAnsi"/>
        </w:rPr>
        <w:t>i</w:t>
      </w:r>
      <w:proofErr w:type="spellEnd"/>
      <w:r w:rsidRPr="00632107">
        <w:rPr>
          <w:rFonts w:asciiTheme="majorHAnsi" w:hAnsiTheme="majorHAnsi"/>
        </w:rPr>
        <w:t xml:space="preserve">) the world’s highest known total biomass carbon density (living plus dead) of 1,867 tonnes carbon per ha (average value from 13 sites) occurs in Australian temperate moist Eucalyptus </w:t>
      </w:r>
      <w:proofErr w:type="spellStart"/>
      <w:r w:rsidRPr="00632107">
        <w:rPr>
          <w:rFonts w:asciiTheme="majorHAnsi" w:hAnsiTheme="majorHAnsi"/>
        </w:rPr>
        <w:t>regnans</w:t>
      </w:r>
      <w:proofErr w:type="spellEnd"/>
      <w:r w:rsidRPr="00632107">
        <w:rPr>
          <w:rFonts w:asciiTheme="majorHAnsi" w:hAnsiTheme="majorHAnsi"/>
        </w:rPr>
        <w:t xml:space="preserve"> forests, and (ii) average values of the global site biomass data were higher for sampled temperate moist forests (n _44) than for sampled tropical (n _ 36) and boreal (n _ 52) forests (n is number of sites per forest biome). Heather Keith, Brendan G. Mackey, and David B. </w:t>
      </w:r>
      <w:proofErr w:type="spellStart"/>
      <w:r w:rsidRPr="00632107">
        <w:rPr>
          <w:rFonts w:asciiTheme="majorHAnsi" w:hAnsiTheme="majorHAnsi"/>
        </w:rPr>
        <w:t>Lindenmayer</w:t>
      </w:r>
      <w:proofErr w:type="spellEnd"/>
      <w:r w:rsidRPr="00632107">
        <w:rPr>
          <w:rFonts w:asciiTheme="majorHAnsi" w:hAnsiTheme="majorHAnsi"/>
        </w:rPr>
        <w:t>, Re-evaluation of forest biomass carbon stocks</w:t>
      </w:r>
    </w:p>
  </w:endnote>
  <w:endnote w:id="45">
    <w:p w:rsidR="000254D6" w:rsidRPr="00632107" w:rsidRDefault="000254D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w:t>
      </w:r>
      <w:proofErr w:type="spellStart"/>
      <w:proofErr w:type="gramStart"/>
      <w:r w:rsidRPr="00632107">
        <w:rPr>
          <w:rFonts w:asciiTheme="majorHAnsi" w:hAnsiTheme="majorHAnsi"/>
        </w:rPr>
        <w:t>Bowd</w:t>
      </w:r>
      <w:proofErr w:type="spellEnd"/>
      <w:r w:rsidRPr="00632107">
        <w:rPr>
          <w:rFonts w:asciiTheme="majorHAnsi" w:hAnsiTheme="majorHAnsi"/>
        </w:rPr>
        <w:t xml:space="preserve">, E.J., Banks, C.S., Strong, C.L. and </w:t>
      </w:r>
      <w:proofErr w:type="spellStart"/>
      <w:r w:rsidRPr="00632107">
        <w:rPr>
          <w:rFonts w:asciiTheme="majorHAnsi" w:hAnsiTheme="majorHAnsi"/>
        </w:rPr>
        <w:t>Lindenmayer</w:t>
      </w:r>
      <w:proofErr w:type="spellEnd"/>
      <w:r w:rsidRPr="00632107">
        <w:rPr>
          <w:rFonts w:asciiTheme="majorHAnsi" w:hAnsiTheme="majorHAnsi"/>
        </w:rPr>
        <w:t>, D.B. (2018).</w:t>
      </w:r>
      <w:proofErr w:type="gramEnd"/>
      <w:r w:rsidRPr="00632107">
        <w:rPr>
          <w:rFonts w:asciiTheme="majorHAnsi" w:hAnsiTheme="majorHAnsi"/>
        </w:rPr>
        <w:t xml:space="preserve"> </w:t>
      </w:r>
      <w:proofErr w:type="gramStart"/>
      <w:r w:rsidRPr="00632107">
        <w:rPr>
          <w:rFonts w:asciiTheme="majorHAnsi" w:hAnsiTheme="majorHAnsi"/>
        </w:rPr>
        <w:t>Long-term impacts of wildfire and logging on forest soils.</w:t>
      </w:r>
      <w:proofErr w:type="gramEnd"/>
      <w:r w:rsidRPr="00632107">
        <w:rPr>
          <w:rFonts w:asciiTheme="majorHAnsi" w:hAnsiTheme="majorHAnsi"/>
        </w:rPr>
        <w:t xml:space="preserve"> Nature geoscience www.nature.com/naturegeoscience</w:t>
      </w:r>
    </w:p>
  </w:endnote>
  <w:endnote w:id="46">
    <w:p w:rsidR="000254D6" w:rsidRPr="00632107" w:rsidRDefault="000254D6" w:rsidP="000254D6">
      <w:pPr>
        <w:pStyle w:val="9Endnote"/>
        <w:rPr>
          <w:rFonts w:asciiTheme="majorHAnsi" w:hAnsiTheme="majorHAnsi"/>
          <w:color w:val="0000FE"/>
          <w:u w:val="single"/>
        </w:rPr>
      </w:pPr>
      <w:r w:rsidRPr="00632107">
        <w:rPr>
          <w:rStyle w:val="EndnoteReference"/>
          <w:rFonts w:asciiTheme="majorHAnsi" w:hAnsiTheme="majorHAnsi"/>
        </w:rPr>
        <w:endnoteRef/>
      </w:r>
      <w:r w:rsidRPr="00632107">
        <w:rPr>
          <w:rFonts w:asciiTheme="majorHAnsi" w:hAnsiTheme="majorHAnsi"/>
        </w:rPr>
        <w:t xml:space="preserve"> Logging rotations in NSW are now routinely less than 20 years.  This is a global phenomenon.  https://www.carbonbrief.org/tropical-forests-no-longer-carbon-sinks-because-human-activity</w:t>
      </w:r>
      <w:r w:rsidRPr="00632107">
        <w:rPr>
          <w:rFonts w:asciiTheme="majorHAnsi" w:hAnsiTheme="majorHAnsi"/>
          <w:color w:val="0000FE"/>
          <w:u w:val="single"/>
        </w:rPr>
        <w:t xml:space="preserve">. </w:t>
      </w:r>
    </w:p>
    <w:p w:rsidR="000254D6" w:rsidRPr="000254D6" w:rsidRDefault="000254D6" w:rsidP="000254D6">
      <w:pPr>
        <w:spacing w:after="120"/>
        <w:rPr>
          <w:rFonts w:asciiTheme="majorHAnsi" w:eastAsia="ヒラギノ角ゴ Pro W3" w:hAnsiTheme="majorHAnsi" w:cs="Times New Roman"/>
          <w:color w:val="1C1D1F"/>
          <w:sz w:val="22"/>
          <w:szCs w:val="20"/>
          <w:u w:color="26282A"/>
          <w:lang w:val="en-US" w:eastAsia="en-AU"/>
        </w:rPr>
      </w:pPr>
      <w:proofErr w:type="spellStart"/>
      <w:r w:rsidRPr="000254D6">
        <w:rPr>
          <w:rFonts w:asciiTheme="majorHAnsi" w:eastAsia="ヒラギノ角ゴ Pro W3" w:hAnsiTheme="majorHAnsi" w:cs="Times New Roman"/>
          <w:color w:val="1C1D1F"/>
          <w:sz w:val="22"/>
          <w:szCs w:val="20"/>
          <w:u w:color="26282A"/>
          <w:lang w:val="en-US" w:eastAsia="en-AU"/>
        </w:rPr>
        <w:t>Baccini</w:t>
      </w:r>
      <w:proofErr w:type="spellEnd"/>
      <w:r w:rsidRPr="000254D6">
        <w:rPr>
          <w:rFonts w:asciiTheme="majorHAnsi" w:eastAsia="ヒラギノ角ゴ Pro W3" w:hAnsiTheme="majorHAnsi" w:cs="Times New Roman"/>
          <w:color w:val="1C1D1F"/>
          <w:sz w:val="22"/>
          <w:szCs w:val="20"/>
          <w:u w:color="26282A"/>
          <w:lang w:val="en-US" w:eastAsia="en-AU"/>
        </w:rPr>
        <w:t xml:space="preserve"> et al. (2017) Tropical forests are a net carbon source based on aboveground measurements of gain and loss. </w:t>
      </w:r>
      <w:proofErr w:type="gramStart"/>
      <w:r w:rsidRPr="000254D6">
        <w:rPr>
          <w:rFonts w:asciiTheme="majorHAnsi" w:eastAsia="ヒラギノ角ゴ Pro W3" w:hAnsiTheme="majorHAnsi" w:cs="Times New Roman"/>
          <w:color w:val="1C1D1F"/>
          <w:sz w:val="22"/>
          <w:szCs w:val="20"/>
          <w:u w:color="26282A"/>
          <w:lang w:val="en-US" w:eastAsia="en-AU"/>
        </w:rPr>
        <w:t>Science.</w:t>
      </w:r>
      <w:proofErr w:type="gramEnd"/>
      <w:r w:rsidRPr="000254D6">
        <w:rPr>
          <w:rFonts w:asciiTheme="majorHAnsi" w:eastAsia="ヒラギノ角ゴ Pro W3" w:hAnsiTheme="majorHAnsi" w:cs="Times New Roman"/>
          <w:color w:val="1C1D1F"/>
          <w:sz w:val="22"/>
          <w:szCs w:val="20"/>
          <w:u w:color="26282A"/>
          <w:lang w:val="en-US" w:eastAsia="en-AU"/>
        </w:rPr>
        <w:t xml:space="preserve"> http://science.sciencemag.org/content/early/2017/09/27/science.aam5962 </w:t>
      </w:r>
    </w:p>
    <w:p w:rsidR="000254D6" w:rsidRPr="00632107" w:rsidRDefault="000254D6" w:rsidP="000254D6">
      <w:pPr>
        <w:pStyle w:val="EndnoteText"/>
        <w:rPr>
          <w:rFonts w:asciiTheme="majorHAnsi" w:hAnsiTheme="majorHAnsi"/>
        </w:rPr>
      </w:pPr>
      <w:proofErr w:type="spellStart"/>
      <w:proofErr w:type="gramStart"/>
      <w:r w:rsidRPr="00632107">
        <w:rPr>
          <w:rFonts w:asciiTheme="majorHAnsi" w:eastAsia="ヒラギノ角ゴ Pro W3" w:hAnsiTheme="majorHAnsi" w:cs="Times New Roman"/>
          <w:color w:val="000000"/>
          <w:sz w:val="22"/>
          <w:szCs w:val="24"/>
        </w:rPr>
        <w:t>Raupach</w:t>
      </w:r>
      <w:proofErr w:type="spellEnd"/>
      <w:r w:rsidRPr="00632107">
        <w:rPr>
          <w:rFonts w:asciiTheme="majorHAnsi" w:eastAsia="ヒラギノ角ゴ Pro W3" w:hAnsiTheme="majorHAnsi" w:cs="Times New Roman"/>
          <w:color w:val="000000"/>
          <w:sz w:val="22"/>
          <w:szCs w:val="24"/>
        </w:rPr>
        <w:t xml:space="preserve"> et al. (2014).</w:t>
      </w:r>
      <w:proofErr w:type="gramEnd"/>
      <w:r w:rsidRPr="00632107">
        <w:rPr>
          <w:rFonts w:asciiTheme="majorHAnsi" w:eastAsia="ヒラギノ角ゴ Pro W3" w:hAnsiTheme="majorHAnsi" w:cs="Times New Roman"/>
          <w:color w:val="000000"/>
          <w:sz w:val="22"/>
          <w:szCs w:val="24"/>
        </w:rPr>
        <w:t xml:space="preserve"> </w:t>
      </w:r>
      <w:proofErr w:type="spellStart"/>
      <w:r w:rsidRPr="00632107">
        <w:rPr>
          <w:rFonts w:asciiTheme="majorHAnsi" w:eastAsia="ヒラギノ角ゴ Pro W3" w:hAnsiTheme="majorHAnsi" w:cs="Times New Roman"/>
          <w:color w:val="000000"/>
          <w:sz w:val="22"/>
          <w:szCs w:val="24"/>
        </w:rPr>
        <w:t>Biogeosciences</w:t>
      </w:r>
      <w:proofErr w:type="spellEnd"/>
      <w:r w:rsidRPr="00632107">
        <w:rPr>
          <w:rFonts w:asciiTheme="majorHAnsi" w:eastAsia="ヒラギノ角ゴ Pro W3" w:hAnsiTheme="majorHAnsi" w:cs="Times New Roman"/>
          <w:color w:val="000000"/>
          <w:sz w:val="22"/>
          <w:szCs w:val="24"/>
        </w:rPr>
        <w:t>, 11, 3453–3475. https://www.biogeosciences.net/11/3453/2014/bg-11-3453-2014.pdf</w:t>
      </w:r>
    </w:p>
  </w:endnote>
  <w:endnote w:id="47">
    <w:p w:rsidR="000254D6" w:rsidRPr="00632107" w:rsidRDefault="000254D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Keith H, </w:t>
      </w:r>
      <w:proofErr w:type="spellStart"/>
      <w:r w:rsidRPr="00632107">
        <w:rPr>
          <w:rFonts w:asciiTheme="majorHAnsi" w:hAnsiTheme="majorHAnsi"/>
        </w:rPr>
        <w:t>Lindenmayer</w:t>
      </w:r>
      <w:proofErr w:type="spellEnd"/>
      <w:r w:rsidRPr="00632107">
        <w:rPr>
          <w:rFonts w:asciiTheme="majorHAnsi" w:hAnsiTheme="majorHAnsi"/>
        </w:rPr>
        <w:t xml:space="preserve"> D, Macintosh A, Mackey B (2015) Under What Circumstances Do Wood Products from Native Forests Benefit Climate Change Mitigation? </w:t>
      </w:r>
      <w:proofErr w:type="spellStart"/>
      <w:r w:rsidRPr="00632107">
        <w:rPr>
          <w:rFonts w:asciiTheme="majorHAnsi" w:hAnsiTheme="majorHAnsi"/>
        </w:rPr>
        <w:t>PLoS</w:t>
      </w:r>
      <w:proofErr w:type="spellEnd"/>
      <w:r w:rsidRPr="00632107">
        <w:rPr>
          <w:rFonts w:asciiTheme="majorHAnsi" w:hAnsiTheme="majorHAnsi"/>
        </w:rPr>
        <w:t xml:space="preserve"> ONE 10(10): e0139640. doi:10.1371/journal.pone.0139640</w:t>
      </w:r>
    </w:p>
  </w:endnote>
  <w:endnote w:id="48">
    <w:p w:rsidR="00D80506" w:rsidRPr="00632107" w:rsidRDefault="00D8050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https://www.economist.com/business/2013/04/06/the-fuel-of-the-future</w:t>
      </w:r>
    </w:p>
  </w:endnote>
  <w:endnote w:id="49">
    <w:p w:rsidR="00D80506" w:rsidRPr="00632107" w:rsidRDefault="00D8050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http://environmentalpaper.org/wp-content/uploads/2018/11/Threat-Map-Briefing-Are-Forests-the-New-Coal-01.pdf</w:t>
      </w:r>
    </w:p>
  </w:endnote>
  <w:endnote w:id="50">
    <w:p w:rsidR="00D80506" w:rsidRPr="00632107" w:rsidRDefault="00D8050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Debating the exclusion from the national Renewable Energy Target of native forest biomass in 2012, and then its inclusion in 2015, the arguments were that the legislation and regulatory mechanisms would ensure that residue based operations only would be eligible for subsidy as ‘renewable’.</w:t>
      </w:r>
    </w:p>
  </w:endnote>
  <w:endnote w:id="51">
    <w:p w:rsidR="00D80506" w:rsidRPr="00632107" w:rsidRDefault="00D8050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w:t>
      </w:r>
      <w:proofErr w:type="gramStart"/>
      <w:r w:rsidRPr="00632107">
        <w:rPr>
          <w:rFonts w:asciiTheme="majorHAnsi" w:hAnsiTheme="majorHAnsi"/>
        </w:rPr>
        <w:t>whereby</w:t>
      </w:r>
      <w:proofErr w:type="gramEnd"/>
      <w:r w:rsidRPr="00632107">
        <w:rPr>
          <w:rFonts w:asciiTheme="majorHAnsi" w:hAnsiTheme="majorHAnsi"/>
        </w:rPr>
        <w:t xml:space="preserve"> “material resulting from forestry operations carried out on land to which an Integrated Forestry Operations Approval (IFOA) applies under Part 5B of the Forestry Act 2012” is eligible for subsidy when burnt. That’s most material from most public forests in NSW logged under a Commonwealth State Regional Forest Agreement, (which is most logging mass from public forests in NSW)</w:t>
      </w:r>
    </w:p>
  </w:endnote>
  <w:endnote w:id="52">
    <w:p w:rsidR="00D80506" w:rsidRPr="00632107" w:rsidRDefault="00D80506" w:rsidP="00D80506">
      <w:pPr>
        <w:pStyle w:val="9Endnote"/>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The RET regulation states:</w:t>
      </w:r>
    </w:p>
    <w:p w:rsidR="00D80506" w:rsidRPr="00D80506" w:rsidRDefault="00D80506" w:rsidP="00D80506">
      <w:pPr>
        <w:numPr>
          <w:ilvl w:val="0"/>
          <w:numId w:val="7"/>
        </w:numPr>
        <w:pBdr>
          <w:top w:val="none" w:sz="16" w:space="0" w:color="000000"/>
          <w:left w:val="none" w:sz="16" w:space="0" w:color="000000"/>
          <w:bottom w:val="none" w:sz="16" w:space="0" w:color="000000"/>
          <w:right w:val="none" w:sz="16" w:space="0" w:color="000000"/>
        </w:pBdr>
        <w:tabs>
          <w:tab w:val="num" w:pos="1400"/>
        </w:tabs>
        <w:spacing w:after="120" w:line="276" w:lineRule="auto"/>
        <w:ind w:left="1400"/>
        <w:rPr>
          <w:rFonts w:asciiTheme="majorHAnsi" w:eastAsia="ヒラギノ角ゴ Pro W3" w:hAnsiTheme="majorHAnsi" w:cs="Times New Roman"/>
          <w:color w:val="1C1D1F"/>
          <w:sz w:val="20"/>
          <w:szCs w:val="20"/>
          <w:u w:color="26282A"/>
          <w:lang w:val="en-US" w:eastAsia="en-AU"/>
        </w:rPr>
      </w:pPr>
      <w:r w:rsidRPr="00D80506">
        <w:rPr>
          <w:rFonts w:asciiTheme="majorHAnsi" w:eastAsia="ヒラギノ角ゴ Pro W3" w:hAnsiTheme="majorHAnsi" w:cs="Times New Roman"/>
          <w:color w:val="1C1D1F"/>
          <w:sz w:val="20"/>
          <w:szCs w:val="20"/>
          <w:u w:color="26282A"/>
          <w:lang w:val="en-US" w:eastAsia="en-AU"/>
        </w:rPr>
        <w:t>Biomass from a native forest must be:</w:t>
      </w:r>
    </w:p>
    <w:p w:rsidR="00D80506" w:rsidRPr="00D80506" w:rsidRDefault="00D80506" w:rsidP="00D80506">
      <w:pPr>
        <w:numPr>
          <w:ilvl w:val="1"/>
          <w:numId w:val="7"/>
        </w:numPr>
        <w:pBdr>
          <w:top w:val="none" w:sz="16" w:space="0" w:color="000000"/>
          <w:left w:val="none" w:sz="16" w:space="0" w:color="000000"/>
          <w:bottom w:val="none" w:sz="16" w:space="0" w:color="000000"/>
          <w:right w:val="none" w:sz="16" w:space="0" w:color="000000"/>
        </w:pBdr>
        <w:tabs>
          <w:tab w:val="num" w:pos="2120"/>
        </w:tabs>
        <w:spacing w:after="120" w:line="276" w:lineRule="auto"/>
        <w:ind w:left="2120"/>
        <w:rPr>
          <w:rFonts w:asciiTheme="majorHAnsi" w:eastAsia="ヒラギノ角ゴ Pro W3" w:hAnsiTheme="majorHAnsi" w:cs="Times New Roman"/>
          <w:color w:val="1C1D1F"/>
          <w:sz w:val="20"/>
          <w:szCs w:val="20"/>
          <w:u w:color="26282A"/>
          <w:lang w:val="en-US" w:eastAsia="en-AU"/>
        </w:rPr>
      </w:pPr>
      <w:r w:rsidRPr="00D80506">
        <w:rPr>
          <w:rFonts w:asciiTheme="majorHAnsi" w:eastAsia="ヒラギノ角ゴ Pro W3" w:hAnsiTheme="majorHAnsi" w:cs="Times New Roman"/>
          <w:color w:val="1C1D1F"/>
          <w:sz w:val="20"/>
          <w:szCs w:val="20"/>
          <w:u w:color="26282A"/>
          <w:lang w:val="en-US" w:eastAsia="en-AU"/>
        </w:rPr>
        <w:t>harvested primarily for a purpose other than biomass for energy production; and</w:t>
      </w:r>
    </w:p>
    <w:p w:rsidR="00D80506" w:rsidRPr="00D80506" w:rsidRDefault="00D80506" w:rsidP="00D80506">
      <w:pPr>
        <w:numPr>
          <w:ilvl w:val="1"/>
          <w:numId w:val="7"/>
        </w:numPr>
        <w:pBdr>
          <w:top w:val="none" w:sz="16" w:space="0" w:color="000000"/>
          <w:left w:val="none" w:sz="16" w:space="0" w:color="000000"/>
          <w:bottom w:val="none" w:sz="16" w:space="0" w:color="000000"/>
          <w:right w:val="none" w:sz="16" w:space="0" w:color="000000"/>
        </w:pBdr>
        <w:tabs>
          <w:tab w:val="num" w:pos="2120"/>
        </w:tabs>
        <w:spacing w:after="120" w:line="276" w:lineRule="auto"/>
        <w:ind w:left="2120"/>
        <w:rPr>
          <w:rFonts w:asciiTheme="majorHAnsi" w:eastAsia="ヒラギノ角ゴ Pro W3" w:hAnsiTheme="majorHAnsi" w:cs="Times New Roman"/>
          <w:color w:val="1C1D1F"/>
          <w:sz w:val="20"/>
          <w:szCs w:val="20"/>
          <w:u w:color="26282A"/>
          <w:lang w:val="en-US" w:eastAsia="en-AU"/>
        </w:rPr>
      </w:pPr>
      <w:r w:rsidRPr="00D80506">
        <w:rPr>
          <w:rFonts w:asciiTheme="majorHAnsi" w:eastAsia="ヒラギノ角ゴ Pro W3" w:hAnsiTheme="majorHAnsi" w:cs="Times New Roman"/>
          <w:color w:val="1C1D1F"/>
          <w:sz w:val="20"/>
          <w:szCs w:val="20"/>
          <w:u w:color="26282A"/>
          <w:lang w:val="en-US" w:eastAsia="en-AU"/>
        </w:rPr>
        <w:t>either:</w:t>
      </w:r>
    </w:p>
    <w:p w:rsidR="00D80506" w:rsidRPr="00D80506" w:rsidRDefault="00D80506" w:rsidP="00D80506">
      <w:pPr>
        <w:numPr>
          <w:ilvl w:val="2"/>
          <w:numId w:val="7"/>
        </w:numPr>
        <w:pBdr>
          <w:top w:val="none" w:sz="16" w:space="0" w:color="000000"/>
          <w:left w:val="none" w:sz="16" w:space="0" w:color="000000"/>
          <w:bottom w:val="none" w:sz="16" w:space="0" w:color="000000"/>
          <w:right w:val="none" w:sz="16" w:space="0" w:color="000000"/>
        </w:pBdr>
        <w:tabs>
          <w:tab w:val="num" w:pos="2840"/>
        </w:tabs>
        <w:spacing w:after="120" w:line="276" w:lineRule="auto"/>
        <w:ind w:left="2840" w:hanging="374"/>
        <w:rPr>
          <w:rFonts w:asciiTheme="majorHAnsi" w:eastAsia="ヒラギノ角ゴ Pro W3" w:hAnsiTheme="majorHAnsi" w:cs="Times New Roman"/>
          <w:color w:val="1C1D1F"/>
          <w:sz w:val="20"/>
          <w:szCs w:val="20"/>
          <w:u w:color="26282A"/>
          <w:lang w:val="en-US" w:eastAsia="en-AU"/>
        </w:rPr>
      </w:pPr>
      <w:r w:rsidRPr="00D80506">
        <w:rPr>
          <w:rFonts w:asciiTheme="majorHAnsi" w:eastAsia="ヒラギノ角ゴ Pro W3" w:hAnsiTheme="majorHAnsi" w:cs="Times New Roman"/>
          <w:color w:val="1C1D1F"/>
          <w:sz w:val="20"/>
          <w:szCs w:val="20"/>
          <w:u w:color="26282A"/>
          <w:lang w:val="en-US" w:eastAsia="en-AU"/>
        </w:rPr>
        <w:t>(</w:t>
      </w:r>
      <w:proofErr w:type="spellStart"/>
      <w:r w:rsidRPr="00D80506">
        <w:rPr>
          <w:rFonts w:asciiTheme="majorHAnsi" w:eastAsia="ヒラギノ角ゴ Pro W3" w:hAnsiTheme="majorHAnsi" w:cs="Times New Roman"/>
          <w:color w:val="1C1D1F"/>
          <w:sz w:val="20"/>
          <w:szCs w:val="20"/>
          <w:u w:color="26282A"/>
          <w:lang w:val="en-US" w:eastAsia="en-AU"/>
        </w:rPr>
        <w:t>i</w:t>
      </w:r>
      <w:proofErr w:type="spellEnd"/>
      <w:r w:rsidRPr="00D80506">
        <w:rPr>
          <w:rFonts w:asciiTheme="majorHAnsi" w:eastAsia="ヒラギノ角ゴ Pro W3" w:hAnsiTheme="majorHAnsi" w:cs="Times New Roman"/>
          <w:color w:val="1C1D1F"/>
          <w:sz w:val="20"/>
          <w:szCs w:val="20"/>
          <w:u w:color="26282A"/>
          <w:lang w:val="en-US" w:eastAsia="en-AU"/>
        </w:rPr>
        <w:t xml:space="preserve">) byproduct or waste product of a harvesting operation, approved under relevant Commonwealth, State or Territory planning and approval processes, for which a </w:t>
      </w:r>
      <w:proofErr w:type="spellStart"/>
      <w:r w:rsidRPr="00D80506">
        <w:rPr>
          <w:rFonts w:asciiTheme="majorHAnsi" w:eastAsia="ヒラギノ角ゴ Pro W3" w:hAnsiTheme="majorHAnsi" w:cs="Times New Roman"/>
          <w:color w:val="1C1D1F"/>
          <w:sz w:val="20"/>
          <w:szCs w:val="20"/>
          <w:u w:color="26282A"/>
          <w:lang w:val="en-US" w:eastAsia="en-AU"/>
        </w:rPr>
        <w:t>highvalue</w:t>
      </w:r>
      <w:proofErr w:type="spellEnd"/>
      <w:r w:rsidRPr="00D80506">
        <w:rPr>
          <w:rFonts w:asciiTheme="majorHAnsi" w:eastAsia="ヒラギノ角ゴ Pro W3" w:hAnsiTheme="majorHAnsi" w:cs="Times New Roman"/>
          <w:color w:val="1C1D1F"/>
          <w:sz w:val="20"/>
          <w:szCs w:val="20"/>
          <w:u w:color="26282A"/>
          <w:lang w:val="en-US" w:eastAsia="en-AU"/>
        </w:rPr>
        <w:t xml:space="preserve"> process is the primary purpose of the harvesting;   </w:t>
      </w:r>
    </w:p>
    <w:p w:rsidR="00D80506" w:rsidRPr="00632107" w:rsidRDefault="00D80506" w:rsidP="00D80506">
      <w:pPr>
        <w:pStyle w:val="EndnoteText"/>
        <w:rPr>
          <w:rFonts w:asciiTheme="majorHAnsi" w:hAnsiTheme="majorHAnsi"/>
        </w:rPr>
      </w:pPr>
      <w:r w:rsidRPr="00632107">
        <w:rPr>
          <w:rFonts w:asciiTheme="majorHAnsi" w:eastAsia="ヒラギノ角ゴ Pro W3" w:hAnsiTheme="majorHAnsi" w:cs="Times New Roman"/>
          <w:i/>
          <w:color w:val="000000"/>
          <w:sz w:val="22"/>
          <w:szCs w:val="24"/>
        </w:rPr>
        <w:t>However, when a sawmill processes a sawlog, less than a third ends up as sawn timber, a high value product.  What looks like a safeguard is a legal ambiguity: (3)  For subparagraph (2) (b) (</w:t>
      </w:r>
      <w:proofErr w:type="spellStart"/>
      <w:r w:rsidRPr="00632107">
        <w:rPr>
          <w:rFonts w:asciiTheme="majorHAnsi" w:eastAsia="ヒラギノ角ゴ Pro W3" w:hAnsiTheme="majorHAnsi" w:cs="Times New Roman"/>
          <w:i/>
          <w:color w:val="000000"/>
          <w:sz w:val="22"/>
          <w:szCs w:val="24"/>
        </w:rPr>
        <w:t>i</w:t>
      </w:r>
      <w:proofErr w:type="spellEnd"/>
      <w:r w:rsidRPr="00632107">
        <w:rPr>
          <w:rFonts w:asciiTheme="majorHAnsi" w:eastAsia="ヒラギノ角ゴ Pro W3" w:hAnsiTheme="majorHAnsi" w:cs="Times New Roman"/>
          <w:i/>
          <w:color w:val="000000"/>
          <w:sz w:val="22"/>
          <w:szCs w:val="24"/>
        </w:rPr>
        <w:t xml:space="preserve">), the primary purpose of a harvesting operation is taken to be a </w:t>
      </w:r>
      <w:proofErr w:type="spellStart"/>
      <w:r w:rsidRPr="00632107">
        <w:rPr>
          <w:rFonts w:asciiTheme="majorHAnsi" w:eastAsia="ヒラギノ角ゴ Pro W3" w:hAnsiTheme="majorHAnsi" w:cs="Times New Roman"/>
          <w:i/>
          <w:color w:val="000000"/>
          <w:sz w:val="22"/>
          <w:szCs w:val="24"/>
        </w:rPr>
        <w:t>highvalue</w:t>
      </w:r>
      <w:proofErr w:type="spellEnd"/>
      <w:r w:rsidRPr="00632107">
        <w:rPr>
          <w:rFonts w:asciiTheme="majorHAnsi" w:eastAsia="ヒラギノ角ゴ Pro W3" w:hAnsiTheme="majorHAnsi" w:cs="Times New Roman"/>
          <w:i/>
          <w:color w:val="000000"/>
          <w:sz w:val="22"/>
          <w:szCs w:val="24"/>
        </w:rPr>
        <w:t xml:space="preserve"> process only if the total financial value of the products of the high value process is higher than the financial value of other products of the harvesting operation.</w:t>
      </w:r>
    </w:p>
  </w:endnote>
  <w:endnote w:id="53">
    <w:p w:rsidR="00D80506" w:rsidRPr="00632107" w:rsidRDefault="00D8050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DPI ‘forest’ scientist Fabiano </w:t>
      </w:r>
      <w:proofErr w:type="spellStart"/>
      <w:r w:rsidRPr="00632107">
        <w:rPr>
          <w:rFonts w:asciiTheme="majorHAnsi" w:hAnsiTheme="majorHAnsi"/>
        </w:rPr>
        <w:t>Ximenes</w:t>
      </w:r>
      <w:proofErr w:type="spellEnd"/>
      <w:r w:rsidRPr="00632107">
        <w:rPr>
          <w:rFonts w:asciiTheme="majorHAnsi" w:hAnsiTheme="majorHAnsi"/>
        </w:rPr>
        <w:t xml:space="preserve"> argues NSW is well positioned to lead the nation in the adoption of bioenergy as a cost-effective and climate friendly energy solution. “Biomass from forestry residues has great potential for large-scale electricity generation, industrial heat, biofuels and valuable natural chemicals, all within NSW regional communities.” https://www.dpi.nsw.gov.au/about-us/media-centre/releases/2017/north-coast-forests-offer-untapped-bioenergy-opportunity</w:t>
      </w:r>
    </w:p>
  </w:endnote>
  <w:endnote w:id="54">
    <w:p w:rsidR="00D80506" w:rsidRPr="00632107" w:rsidRDefault="00D80506" w:rsidP="00D80506">
      <w:pPr>
        <w:pStyle w:val="9Endnote"/>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From North Coast Residues: A project undertaken as part of the 2023 North Coast Forestry Project, </w:t>
      </w:r>
    </w:p>
    <w:p w:rsidR="00D80506" w:rsidRPr="00D80506" w:rsidRDefault="00D80506" w:rsidP="00D80506">
      <w:pPr>
        <w:pBdr>
          <w:top w:val="none" w:sz="16" w:space="0" w:color="000000"/>
          <w:left w:val="none" w:sz="16" w:space="0" w:color="000000"/>
          <w:bottom w:val="none" w:sz="16" w:space="0" w:color="000000"/>
          <w:right w:val="none" w:sz="16" w:space="0" w:color="000000"/>
        </w:pBdr>
        <w:spacing w:after="120"/>
        <w:ind w:left="680" w:right="680"/>
        <w:rPr>
          <w:rFonts w:asciiTheme="majorHAnsi" w:eastAsia="ヒラギノ角ゴ Pro W3" w:hAnsiTheme="majorHAnsi" w:cs="Times New Roman"/>
          <w:color w:val="1C1D1F"/>
          <w:sz w:val="20"/>
          <w:szCs w:val="20"/>
          <w:u w:color="26282A"/>
          <w:lang w:val="en-US" w:eastAsia="en-AU"/>
        </w:rPr>
      </w:pPr>
      <w:r w:rsidRPr="00D80506">
        <w:rPr>
          <w:rFonts w:asciiTheme="majorHAnsi" w:eastAsia="ヒラギノ角ゴ Pro W3" w:hAnsiTheme="majorHAnsi" w:cs="Times New Roman"/>
          <w:color w:val="1C1D1F"/>
          <w:sz w:val="20"/>
          <w:szCs w:val="20"/>
          <w:u w:color="26282A"/>
          <w:lang w:val="en-US" w:eastAsia="en-AU"/>
        </w:rPr>
        <w:t>1.2 Forest harvest residues: 1.2.1 Native forests - Public</w:t>
      </w:r>
    </w:p>
    <w:p w:rsidR="00D80506" w:rsidRPr="00D80506" w:rsidRDefault="00D80506" w:rsidP="00D80506">
      <w:pPr>
        <w:pBdr>
          <w:top w:val="none" w:sz="16" w:space="0" w:color="000000"/>
          <w:left w:val="none" w:sz="16" w:space="0" w:color="000000"/>
          <w:bottom w:val="none" w:sz="16" w:space="0" w:color="000000"/>
          <w:right w:val="none" w:sz="16" w:space="0" w:color="000000"/>
        </w:pBdr>
        <w:spacing w:after="120"/>
        <w:ind w:left="680" w:right="680"/>
        <w:rPr>
          <w:rFonts w:asciiTheme="majorHAnsi" w:eastAsia="ヒラギノ角ゴ Pro W3" w:hAnsiTheme="majorHAnsi" w:cs="Times New Roman"/>
          <w:color w:val="1C1D1F"/>
          <w:sz w:val="20"/>
          <w:szCs w:val="20"/>
          <w:u w:color="26282A"/>
          <w:lang w:val="en-US" w:eastAsia="en-AU"/>
        </w:rPr>
      </w:pPr>
      <w:r w:rsidRPr="00D80506">
        <w:rPr>
          <w:rFonts w:asciiTheme="majorHAnsi" w:eastAsia="ヒラギノ角ゴ Pro W3" w:hAnsiTheme="majorHAnsi" w:cs="Times New Roman"/>
          <w:color w:val="1C1D1F"/>
          <w:sz w:val="20"/>
          <w:szCs w:val="20"/>
          <w:u w:color="26282A"/>
          <w:lang w:val="en-US" w:eastAsia="en-AU"/>
        </w:rPr>
        <w:t xml:space="preserve">“For native forests, residue estimations were conservative, as we only considered logs that met the specifications for pulpwood as available for extraction (typically 10 cm small end diameter </w:t>
      </w:r>
      <w:proofErr w:type="spellStart"/>
      <w:r w:rsidRPr="00D80506">
        <w:rPr>
          <w:rFonts w:asciiTheme="majorHAnsi" w:eastAsia="ヒラギノ角ゴ Pro W3" w:hAnsiTheme="majorHAnsi" w:cs="Times New Roman"/>
          <w:color w:val="1C1D1F"/>
          <w:sz w:val="20"/>
          <w:szCs w:val="20"/>
          <w:u w:color="26282A"/>
          <w:lang w:val="en-US" w:eastAsia="en-AU"/>
        </w:rPr>
        <w:t>overbark</w:t>
      </w:r>
      <w:proofErr w:type="spellEnd"/>
      <w:r w:rsidRPr="00D80506">
        <w:rPr>
          <w:rFonts w:asciiTheme="majorHAnsi" w:eastAsia="ヒラギノ角ゴ Pro W3" w:hAnsiTheme="majorHAnsi" w:cs="Times New Roman"/>
          <w:color w:val="1C1D1F"/>
          <w:sz w:val="20"/>
          <w:szCs w:val="20"/>
          <w:u w:color="26282A"/>
          <w:lang w:val="en-US" w:eastAsia="en-AU"/>
        </w:rPr>
        <w:t xml:space="preserve">, and a minimum of 2.5 m in length – no species restrictions – and the crown was typically left in the forest). This was partly due to the fact that the local industry already has experience harvesting and transporting pulpwood from the forest.”  </w:t>
      </w:r>
    </w:p>
    <w:p w:rsidR="00D80506" w:rsidRPr="00D80506" w:rsidRDefault="00D80506" w:rsidP="00D80506">
      <w:pPr>
        <w:spacing w:after="120"/>
        <w:rPr>
          <w:rFonts w:asciiTheme="majorHAnsi" w:eastAsia="ヒラギノ角ゴ Pro W3" w:hAnsiTheme="majorHAnsi" w:cs="Times New Roman"/>
          <w:color w:val="1C1D1F"/>
          <w:sz w:val="22"/>
          <w:szCs w:val="20"/>
          <w:u w:color="26282A"/>
          <w:lang w:val="en-US" w:eastAsia="en-AU"/>
        </w:rPr>
      </w:pPr>
      <w:r w:rsidRPr="00D80506">
        <w:rPr>
          <w:rFonts w:asciiTheme="majorHAnsi" w:eastAsia="ヒラギノ角ゴ Pro W3" w:hAnsiTheme="majorHAnsi" w:cs="Times New Roman"/>
          <w:color w:val="1C1D1F"/>
          <w:sz w:val="22"/>
          <w:szCs w:val="20"/>
          <w:u w:color="26282A"/>
          <w:lang w:val="en-US" w:eastAsia="en-AU"/>
        </w:rPr>
        <w:t xml:space="preserve">Though it is made clear that whole trees are defined as residue, in the same document claims are made that using “biomass that would have otherwise been left in the forest to burn and/or decay” demonstrates the GHG benefits of this technology.  A ‘carbon neutral/ residue’ argument is promulgated by state forest agencies to draw attention away from the intention to use whole trees to supply the bioenergy market. </w:t>
      </w:r>
    </w:p>
    <w:p w:rsidR="00D80506" w:rsidRPr="00632107" w:rsidRDefault="00D80506" w:rsidP="00632107">
      <w:pPr>
        <w:pBdr>
          <w:top w:val="none" w:sz="16" w:space="0" w:color="000000"/>
          <w:left w:val="none" w:sz="16" w:space="0" w:color="000000"/>
          <w:bottom w:val="none" w:sz="16" w:space="0" w:color="000000"/>
          <w:right w:val="none" w:sz="16" w:space="0" w:color="000000"/>
        </w:pBdr>
        <w:spacing w:after="120"/>
        <w:ind w:left="680" w:right="680"/>
        <w:rPr>
          <w:rFonts w:asciiTheme="majorHAnsi" w:eastAsia="Times New Roman" w:hAnsiTheme="majorHAnsi" w:cs="Times New Roman"/>
          <w:sz w:val="20"/>
          <w:szCs w:val="20"/>
          <w:lang w:eastAsia="en-AU" w:bidi="x-none"/>
        </w:rPr>
      </w:pPr>
      <w:r w:rsidRPr="00D80506">
        <w:rPr>
          <w:rFonts w:asciiTheme="majorHAnsi" w:eastAsia="ヒラギノ角ゴ Pro W3" w:hAnsiTheme="majorHAnsi" w:cs="Times New Roman"/>
          <w:color w:val="1C1D1F"/>
          <w:sz w:val="20"/>
          <w:szCs w:val="20"/>
          <w:u w:color="26282A"/>
          <w:lang w:val="en-US" w:eastAsia="en-AU"/>
        </w:rPr>
        <w:t xml:space="preserve">“Although many studies demonstrate the GHG benefits of using forestry residues for energy generation, others argue that this practice does not result in GHG benefits, with some claiming worse outcomes than the use of coal for electricity generation. The greenhouse gas balance carried out here clearly shows that, from a climate perspective, using biomass that would have otherwise been left in the forest to burn and/or decay for bioenergy generation results in positive outcomes, especially if biomass is used to produce electricity displacing the use of coal. This is true even when the carbon dioxide emissions from burning the biomass to generate energy are included in the calculations. In practice, the CO2 released will be reabsorbed by the growing of trees in a sustainable harvest system, eventually negating the impact of such emissions”. p.3, North Coast Residues: A project undertaken as part of the 2023 North Coast Forestry Project, Published by the NSW Department of Primary Industries, November 2017.  Authors: Fabiano </w:t>
      </w:r>
      <w:proofErr w:type="spellStart"/>
      <w:r w:rsidRPr="00D80506">
        <w:rPr>
          <w:rFonts w:asciiTheme="majorHAnsi" w:eastAsia="ヒラギノ角ゴ Pro W3" w:hAnsiTheme="majorHAnsi" w:cs="Times New Roman"/>
          <w:color w:val="1C1D1F"/>
          <w:sz w:val="20"/>
          <w:szCs w:val="20"/>
          <w:u w:color="26282A"/>
          <w:lang w:val="en-US" w:eastAsia="en-AU"/>
        </w:rPr>
        <w:t>Ximenes</w:t>
      </w:r>
      <w:proofErr w:type="spellEnd"/>
      <w:r w:rsidRPr="00D80506">
        <w:rPr>
          <w:rFonts w:asciiTheme="majorHAnsi" w:eastAsia="ヒラギノ角ゴ Pro W3" w:hAnsiTheme="majorHAnsi" w:cs="Times New Roman"/>
          <w:color w:val="1C1D1F"/>
          <w:sz w:val="20"/>
          <w:szCs w:val="20"/>
          <w:u w:color="26282A"/>
          <w:lang w:val="en-US" w:eastAsia="en-AU"/>
        </w:rPr>
        <w:t xml:space="preserve">, Rebecca Coburn, Michael McLean, John Samuel, Nick Cameron, Brad Law, </w:t>
      </w:r>
      <w:proofErr w:type="spellStart"/>
      <w:r w:rsidRPr="00D80506">
        <w:rPr>
          <w:rFonts w:asciiTheme="majorHAnsi" w:eastAsia="ヒラギノ角ゴ Pro W3" w:hAnsiTheme="majorHAnsi" w:cs="Times New Roman"/>
          <w:color w:val="1C1D1F"/>
          <w:sz w:val="20"/>
          <w:szCs w:val="20"/>
          <w:u w:color="26282A"/>
          <w:lang w:val="en-US" w:eastAsia="en-AU"/>
        </w:rPr>
        <w:t>Caragh</w:t>
      </w:r>
      <w:proofErr w:type="spellEnd"/>
      <w:r w:rsidRPr="00D80506">
        <w:rPr>
          <w:rFonts w:asciiTheme="majorHAnsi" w:eastAsia="ヒラギノ角ゴ Pro W3" w:hAnsiTheme="majorHAnsi" w:cs="Times New Roman"/>
          <w:color w:val="1C1D1F"/>
          <w:sz w:val="20"/>
          <w:szCs w:val="20"/>
          <w:u w:color="26282A"/>
          <w:lang w:val="en-US" w:eastAsia="en-AU"/>
        </w:rPr>
        <w:t xml:space="preserve"> </w:t>
      </w:r>
      <w:proofErr w:type="spellStart"/>
      <w:r w:rsidRPr="00D80506">
        <w:rPr>
          <w:rFonts w:asciiTheme="majorHAnsi" w:eastAsia="ヒラギノ角ゴ Pro W3" w:hAnsiTheme="majorHAnsi" w:cs="Times New Roman"/>
          <w:color w:val="1C1D1F"/>
          <w:sz w:val="20"/>
          <w:szCs w:val="20"/>
          <w:u w:color="26282A"/>
          <w:lang w:val="en-US" w:eastAsia="en-AU"/>
        </w:rPr>
        <w:t>Threllfall</w:t>
      </w:r>
      <w:proofErr w:type="spellEnd"/>
      <w:r w:rsidRPr="00D80506">
        <w:rPr>
          <w:rFonts w:asciiTheme="majorHAnsi" w:eastAsia="ヒラギノ角ゴ Pro W3" w:hAnsiTheme="majorHAnsi" w:cs="Times New Roman"/>
          <w:color w:val="1C1D1F"/>
          <w:sz w:val="20"/>
          <w:szCs w:val="20"/>
          <w:u w:color="26282A"/>
          <w:lang w:val="en-US" w:eastAsia="en-AU"/>
        </w:rPr>
        <w:t>, Kate Wright and Shane Macintosh</w:t>
      </w:r>
    </w:p>
  </w:endnote>
  <w:endnote w:id="55">
    <w:p w:rsidR="00395AB3" w:rsidRPr="00632107" w:rsidRDefault="00395AB3">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Vales Point Power Station receiving native forest woodchip via Mid North Coast NSW as Delta Power 2013-4 40.9 KT (forest biomass delivered), 31.5 KT consumed, 2015-6 14.7 KT (delivered), 16.5 KT consumed (presumably carry over stock)</w:t>
      </w:r>
    </w:p>
  </w:endnote>
  <w:endnote w:id="56">
    <w:p w:rsidR="00395AB3" w:rsidRPr="00632107" w:rsidRDefault="00395AB3">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A grant based culture is enjoyed by the logging industry entering the renewable energy and fuel markets. BORAL received a .5 million dollar grant from the Australian Renewable Energy Agency in 2018 to explore a ‘bio-bitumen’ </w:t>
      </w:r>
      <w:proofErr w:type="gramStart"/>
      <w:r w:rsidRPr="00632107">
        <w:rPr>
          <w:rFonts w:asciiTheme="majorHAnsi" w:hAnsiTheme="majorHAnsi"/>
        </w:rPr>
        <w:t>and  ‘bio</w:t>
      </w:r>
      <w:proofErr w:type="gramEnd"/>
      <w:r w:rsidRPr="00632107">
        <w:rPr>
          <w:rFonts w:asciiTheme="majorHAnsi" w:hAnsiTheme="majorHAnsi"/>
        </w:rPr>
        <w:t>-diesel’ facility to power its truck fleet.  North Coast NSW sugar mills at Condong and Broadwater which traditionally burnt bagasse (cane residue) for refining processes now enjoy subsidies for combusting logs from both plantations and private native forest logging operations; wood biomass input is increasing.</w:t>
      </w:r>
    </w:p>
  </w:endnote>
  <w:endnote w:id="57">
    <w:p w:rsidR="008F1CF0" w:rsidRPr="00632107" w:rsidRDefault="008F1CF0" w:rsidP="00632107">
      <w:pPr>
        <w:pStyle w:val="EndnoteText2"/>
        <w:rPr>
          <w:rFonts w:asciiTheme="majorHAnsi" w:hAnsiTheme="majorHAnsi"/>
          <w:sz w:val="22"/>
        </w:rPr>
      </w:pPr>
      <w:r w:rsidRPr="00632107">
        <w:rPr>
          <w:rStyle w:val="EndnoteReference"/>
          <w:rFonts w:asciiTheme="majorHAnsi" w:hAnsiTheme="majorHAnsi"/>
        </w:rPr>
        <w:endnoteRef/>
      </w:r>
      <w:r w:rsidRPr="00632107">
        <w:rPr>
          <w:rFonts w:asciiTheme="majorHAnsi" w:hAnsiTheme="majorHAnsi"/>
        </w:rPr>
        <w:t xml:space="preserve"> </w:t>
      </w:r>
      <w:r w:rsidRPr="00632107">
        <w:rPr>
          <w:rFonts w:asciiTheme="majorHAnsi" w:hAnsiTheme="majorHAnsi"/>
          <w:sz w:val="22"/>
        </w:rPr>
        <w:t xml:space="preserve">Department of Agriculture and Water Resources 2018, </w:t>
      </w:r>
      <w:proofErr w:type="gramStart"/>
      <w:r w:rsidRPr="00632107">
        <w:rPr>
          <w:rFonts w:asciiTheme="majorHAnsi" w:hAnsiTheme="majorHAnsi"/>
          <w:sz w:val="22"/>
        </w:rPr>
        <w:t>Growing</w:t>
      </w:r>
      <w:proofErr w:type="gramEnd"/>
      <w:r w:rsidRPr="00632107">
        <w:rPr>
          <w:rFonts w:asciiTheme="majorHAnsi" w:hAnsiTheme="majorHAnsi"/>
          <w:sz w:val="22"/>
        </w:rPr>
        <w:t xml:space="preserve"> a better Australia – A billion trees for jobs</w:t>
      </w:r>
      <w:r w:rsidR="00632107">
        <w:rPr>
          <w:rFonts w:asciiTheme="majorHAnsi" w:hAnsiTheme="majorHAnsi"/>
          <w:sz w:val="22"/>
        </w:rPr>
        <w:t xml:space="preserve"> </w:t>
      </w:r>
      <w:r w:rsidRPr="00632107">
        <w:rPr>
          <w:rFonts w:asciiTheme="majorHAnsi" w:hAnsiTheme="majorHAnsi"/>
          <w:sz w:val="22"/>
          <w:szCs w:val="24"/>
        </w:rPr>
        <w:t>and growth is the current national forest plan that re-states a series of industry/ government documents which culminated in a ‘new’ national forest policy: Transforming Australia’s forest products industry, Recommendations from the Forest Industry Advisory Council, 2016, (FIAC).  The public are largely unaware that the national forest policy has changed, having been developed and written by FIAC, an industry dominated legislated departmental partner of Australian Primary Industries, with industry co-chairing the council with the Federal Minister since at least 2016.</w:t>
      </w:r>
    </w:p>
  </w:endnote>
  <w:endnote w:id="58">
    <w:p w:rsidR="008F1CF0" w:rsidRPr="00632107" w:rsidRDefault="008F1CF0" w:rsidP="00632107">
      <w:pPr>
        <w:pStyle w:val="9Endnote"/>
        <w:rPr>
          <w:rFonts w:asciiTheme="majorHAnsi" w:eastAsia="Times New Roman" w:hAnsiTheme="majorHAnsi"/>
          <w:lang w:val="en-AU" w:bidi="x-none"/>
        </w:rPr>
      </w:pPr>
      <w:r w:rsidRPr="00632107">
        <w:rPr>
          <w:rStyle w:val="EndnoteReference"/>
          <w:rFonts w:asciiTheme="majorHAnsi" w:hAnsiTheme="majorHAnsi"/>
        </w:rPr>
        <w:endnoteRef/>
      </w:r>
      <w:r w:rsidRPr="00632107">
        <w:rPr>
          <w:rFonts w:asciiTheme="majorHAnsi" w:hAnsiTheme="majorHAnsi"/>
        </w:rPr>
        <w:t xml:space="preserve"> http://www.agriculture.gov.au/forestry/industries/fiac/transforming-australias-forest-industry</w:t>
      </w:r>
    </w:p>
  </w:endnote>
  <w:endnote w:id="59">
    <w:p w:rsidR="008F1CF0" w:rsidRPr="00632107" w:rsidRDefault="008F1CF0">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Australian Forests &amp; Timber News,  Australia-Japan forest products trade strengthened, 20 December 2018</w:t>
      </w:r>
    </w:p>
  </w:endnote>
  <w:endnote w:id="60">
    <w:p w:rsidR="008F1CF0" w:rsidRPr="00632107" w:rsidRDefault="008F1CF0" w:rsidP="00632107">
      <w:pPr>
        <w:pStyle w:val="9Endnote"/>
        <w:spacing w:after="0"/>
        <w:rPr>
          <w:rFonts w:asciiTheme="majorHAnsi" w:hAnsiTheme="majorHAnsi"/>
          <w:color w:val="0E0E0E"/>
          <w:sz w:val="20"/>
        </w:rPr>
      </w:pPr>
      <w:r w:rsidRPr="00632107">
        <w:rPr>
          <w:rStyle w:val="EndnoteReference"/>
          <w:rFonts w:asciiTheme="majorHAnsi" w:hAnsiTheme="majorHAnsi"/>
        </w:rPr>
        <w:endnoteRef/>
      </w:r>
      <w:r w:rsidRPr="00632107">
        <w:rPr>
          <w:rFonts w:asciiTheme="majorHAnsi" w:hAnsiTheme="majorHAnsi"/>
        </w:rPr>
        <w:t xml:space="preserve"> </w:t>
      </w:r>
      <w:r w:rsidRPr="00632107">
        <w:rPr>
          <w:rFonts w:asciiTheme="majorHAnsi" w:hAnsiTheme="majorHAnsi"/>
          <w:color w:val="0E0E0E"/>
        </w:rPr>
        <w:t xml:space="preserve">Japan changes biomass subsidies in response to rapid demand growth, </w:t>
      </w:r>
      <w:proofErr w:type="spellStart"/>
      <w:r w:rsidRPr="00632107">
        <w:rPr>
          <w:rFonts w:asciiTheme="majorHAnsi" w:hAnsiTheme="majorHAnsi"/>
          <w:color w:val="0E0E0E"/>
          <w:sz w:val="20"/>
        </w:rPr>
        <w:t>FutureMetrics</w:t>
      </w:r>
      <w:proofErr w:type="spellEnd"/>
      <w:r w:rsidRPr="00632107">
        <w:rPr>
          <w:rFonts w:asciiTheme="majorHAnsi" w:hAnsiTheme="majorHAnsi"/>
          <w:color w:val="0E0E0E"/>
          <w:sz w:val="20"/>
        </w:rPr>
        <w:t>, January 25, 2018</w:t>
      </w:r>
    </w:p>
    <w:p w:rsidR="008F1CF0" w:rsidRPr="00632107" w:rsidRDefault="008F1CF0" w:rsidP="00632107">
      <w:pPr>
        <w:pStyle w:val="EndnoteText"/>
        <w:rPr>
          <w:rFonts w:ascii="Times New Roman" w:hAnsi="Times New Roman" w:cs="Times New Roman"/>
          <w:sz w:val="18"/>
          <w:szCs w:val="18"/>
        </w:rPr>
      </w:pPr>
      <w:r w:rsidRPr="00632107">
        <w:rPr>
          <w:rFonts w:ascii="Times New Roman" w:eastAsia="ヒラギノ角ゴ Pro W3" w:hAnsi="Times New Roman" w:cs="Times New Roman"/>
          <w:color w:val="000000"/>
          <w:sz w:val="18"/>
          <w:szCs w:val="18"/>
        </w:rPr>
        <w:t>https://www.canadianbiomassmagazine.ca/pellets/japan-changes-biomass-subsidies-in-response-to-rapid-demand-growth-6691</w:t>
      </w:r>
    </w:p>
  </w:endnote>
  <w:endnote w:id="61">
    <w:p w:rsidR="004E5F22" w:rsidRPr="00632107" w:rsidRDefault="004E5F22">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‘Geo-engineering is a catch-all term, better broken down into two main categories, carbon dioxide removal (CDR) and solar radiation modification (SRM) (IPCC 2018, 544, 558). The latter, such as seeding the atmosphere with fine particles to reduce temperatures, has been largely eschewed by the international community, as it does not do anything to actively remove emissions, with UNEP and the Convention on Biological Diversity (CBD) recommending a precautionary principle approach (CBD 2016). CDR has some policy traction primarily through the concept of bio-energy, carbon capture and storage (BECCS). The solution promotes the burning of forest biomass whilst capturing emissions through various sequestration technologies.’ From Paris to Poland: A </w:t>
      </w:r>
      <w:proofErr w:type="spellStart"/>
      <w:r w:rsidRPr="00632107">
        <w:rPr>
          <w:rFonts w:asciiTheme="majorHAnsi" w:hAnsiTheme="majorHAnsi"/>
        </w:rPr>
        <w:t>Postmortem</w:t>
      </w:r>
      <w:proofErr w:type="spellEnd"/>
      <w:r w:rsidRPr="00632107">
        <w:rPr>
          <w:rFonts w:asciiTheme="majorHAnsi" w:hAnsiTheme="majorHAnsi"/>
        </w:rPr>
        <w:t xml:space="preserve"> of The Climate Change Negotiations, Tim Cadman, Research Fellow, Griffith University, Klaus </w:t>
      </w:r>
      <w:proofErr w:type="spellStart"/>
      <w:r w:rsidRPr="00632107">
        <w:rPr>
          <w:rFonts w:asciiTheme="majorHAnsi" w:hAnsiTheme="majorHAnsi"/>
        </w:rPr>
        <w:t>Radunsky</w:t>
      </w:r>
      <w:proofErr w:type="spellEnd"/>
      <w:r w:rsidRPr="00632107">
        <w:rPr>
          <w:rFonts w:asciiTheme="majorHAnsi" w:hAnsiTheme="majorHAnsi"/>
        </w:rPr>
        <w:t xml:space="preserve">, Austria Federal Environment Agency, Andrea </w:t>
      </w:r>
      <w:proofErr w:type="spellStart"/>
      <w:r w:rsidRPr="00632107">
        <w:rPr>
          <w:rFonts w:asciiTheme="majorHAnsi" w:hAnsiTheme="majorHAnsi"/>
        </w:rPr>
        <w:t>Simonelli</w:t>
      </w:r>
      <w:proofErr w:type="spellEnd"/>
      <w:r w:rsidRPr="00632107">
        <w:rPr>
          <w:rFonts w:asciiTheme="majorHAnsi" w:hAnsiTheme="majorHAnsi"/>
        </w:rPr>
        <w:t>, Assistant Professor, Virginia Commonwealth University</w:t>
      </w:r>
      <w:r w:rsidRPr="00632107">
        <w:rPr>
          <w:rFonts w:asciiTheme="majorHAnsi" w:hAnsiTheme="majorHAnsi"/>
          <w:color w:val="272727"/>
        </w:rPr>
        <w:t xml:space="preserve">, </w:t>
      </w:r>
      <w:proofErr w:type="spellStart"/>
      <w:r w:rsidRPr="00632107">
        <w:rPr>
          <w:rFonts w:asciiTheme="majorHAnsi" w:hAnsiTheme="majorHAnsi"/>
          <w:color w:val="000000"/>
        </w:rPr>
        <w:t>Tek</w:t>
      </w:r>
      <w:proofErr w:type="spellEnd"/>
      <w:r w:rsidRPr="00632107">
        <w:rPr>
          <w:rFonts w:asciiTheme="majorHAnsi" w:hAnsiTheme="majorHAnsi"/>
          <w:color w:val="000000"/>
        </w:rPr>
        <w:t xml:space="preserve"> </w:t>
      </w:r>
      <w:proofErr w:type="spellStart"/>
      <w:r w:rsidRPr="00632107">
        <w:rPr>
          <w:rFonts w:asciiTheme="majorHAnsi" w:hAnsiTheme="majorHAnsi"/>
          <w:color w:val="000000"/>
        </w:rPr>
        <w:t>Maraseni</w:t>
      </w:r>
      <w:proofErr w:type="spellEnd"/>
      <w:r w:rsidRPr="00632107">
        <w:rPr>
          <w:rFonts w:asciiTheme="majorHAnsi" w:hAnsiTheme="majorHAnsi"/>
          <w:color w:val="000000"/>
        </w:rPr>
        <w:t>, Associate Professor, University of Southern Queensland</w:t>
      </w:r>
    </w:p>
  </w:endnote>
  <w:endnote w:id="62">
    <w:p w:rsidR="004E5F22" w:rsidRPr="00632107" w:rsidRDefault="004E5F22">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John M. </w:t>
      </w:r>
      <w:proofErr w:type="spellStart"/>
      <w:r w:rsidRPr="00632107">
        <w:rPr>
          <w:rFonts w:asciiTheme="majorHAnsi" w:hAnsiTheme="majorHAnsi"/>
        </w:rPr>
        <w:t>DeCiccoa</w:t>
      </w:r>
      <w:proofErr w:type="spellEnd"/>
      <w:r w:rsidRPr="00632107">
        <w:rPr>
          <w:rFonts w:asciiTheme="majorHAnsi" w:hAnsiTheme="majorHAnsi"/>
        </w:rPr>
        <w:t>, and William H. Schlesinger, Reconsidering bioenergy given the urgency of climate protection, 9642–9645 | PNAS | September 25, 2018 | vol. 115 | no. 39, www.pnas.org/cgi/doi/10.1073/pnas.1814120115</w:t>
      </w:r>
    </w:p>
  </w:endnote>
  <w:endnote w:id="63">
    <w:p w:rsidR="004E5F22" w:rsidRPr="00632107" w:rsidRDefault="004E5F22">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Half the world’s terrestrial vegetation cover has been lost over the past 200 years (</w:t>
      </w:r>
      <w:proofErr w:type="spellStart"/>
      <w:r w:rsidRPr="00632107">
        <w:rPr>
          <w:rFonts w:asciiTheme="majorHAnsi" w:hAnsiTheme="majorHAnsi"/>
        </w:rPr>
        <w:t>Erb</w:t>
      </w:r>
      <w:proofErr w:type="spellEnd"/>
      <w:r w:rsidRPr="00632107">
        <w:rPr>
          <w:rFonts w:asciiTheme="majorHAnsi" w:hAnsiTheme="majorHAnsi"/>
        </w:rPr>
        <w:t xml:space="preserve"> et al., 2017), precipitating a global crisis of biodiversity loss (IPBES, 2018). Feedback loops between biodiversity and climate change flow both ways— the more ecosystems are degraded the more carbon is released into the atmosphere, and the harder it will be to mitigate climate change (CBD, 2014).</w:t>
      </w:r>
    </w:p>
  </w:endnote>
  <w:endnote w:id="64">
    <w:p w:rsidR="004E5F22" w:rsidRPr="00632107" w:rsidRDefault="004E5F22">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w:t>
      </w:r>
      <w:proofErr w:type="gramStart"/>
      <w:r w:rsidRPr="00632107">
        <w:rPr>
          <w:rFonts w:asciiTheme="majorHAnsi" w:hAnsiTheme="majorHAnsi"/>
        </w:rPr>
        <w:t xml:space="preserve">Thompson, I.; Mackey, B.; McNulty, S.; </w:t>
      </w:r>
      <w:proofErr w:type="spellStart"/>
      <w:r w:rsidRPr="00632107">
        <w:rPr>
          <w:rFonts w:asciiTheme="majorHAnsi" w:hAnsiTheme="majorHAnsi"/>
        </w:rPr>
        <w:t>Mosseler</w:t>
      </w:r>
      <w:proofErr w:type="spellEnd"/>
      <w:r w:rsidRPr="00632107">
        <w:rPr>
          <w:rFonts w:asciiTheme="majorHAnsi" w:hAnsiTheme="majorHAnsi"/>
        </w:rPr>
        <w:t>, A. 2009.</w:t>
      </w:r>
      <w:proofErr w:type="gramEnd"/>
      <w:r w:rsidRPr="00632107">
        <w:rPr>
          <w:rFonts w:asciiTheme="majorHAnsi" w:hAnsiTheme="majorHAnsi"/>
        </w:rPr>
        <w:t xml:space="preserve"> Forest Resilience, Biodiversity, and Climate Change: a synthesis of the biodiversity/resilience/stability relationship in forest ecosystems. </w:t>
      </w:r>
      <w:proofErr w:type="gramStart"/>
      <w:r w:rsidRPr="00632107">
        <w:rPr>
          <w:rFonts w:asciiTheme="majorHAnsi" w:hAnsiTheme="majorHAnsi"/>
        </w:rPr>
        <w:t>Secretariat of the Convention on Biological Diversity, Montreal.</w:t>
      </w:r>
      <w:proofErr w:type="gramEnd"/>
      <w:r w:rsidRPr="00632107">
        <w:rPr>
          <w:rFonts w:asciiTheme="majorHAnsi" w:hAnsiTheme="majorHAnsi"/>
        </w:rPr>
        <w:t xml:space="preserve"> </w:t>
      </w:r>
      <w:proofErr w:type="gramStart"/>
      <w:r w:rsidRPr="00632107">
        <w:rPr>
          <w:rFonts w:asciiTheme="majorHAnsi" w:hAnsiTheme="majorHAnsi"/>
        </w:rPr>
        <w:t>Technical Series no. 43.</w:t>
      </w:r>
      <w:proofErr w:type="gramEnd"/>
      <w:r w:rsidRPr="00632107">
        <w:rPr>
          <w:rFonts w:asciiTheme="majorHAnsi" w:hAnsiTheme="majorHAnsi"/>
        </w:rPr>
        <w:t xml:space="preserve"> 1-67.</w:t>
      </w:r>
    </w:p>
  </w:endnote>
  <w:endnote w:id="65">
    <w:p w:rsidR="004E5F22" w:rsidRPr="00632107" w:rsidRDefault="004E5F22">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https://www.nature.com/articles/d41586-019-01026-8</w:t>
      </w:r>
    </w:p>
  </w:endnote>
  <w:endnote w:id="66">
    <w:p w:rsidR="002E2CA6" w:rsidRPr="00632107" w:rsidRDefault="002E2CA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P19, Section C.3.2 of the IPCC, 2018: Summary for Policymakers.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w:t>
      </w:r>
      <w:proofErr w:type="spellStart"/>
      <w:r w:rsidRPr="00632107">
        <w:rPr>
          <w:rFonts w:asciiTheme="majorHAnsi" w:hAnsiTheme="majorHAnsi"/>
        </w:rPr>
        <w:t>Delmotte</w:t>
      </w:r>
      <w:proofErr w:type="spellEnd"/>
      <w:r w:rsidRPr="00632107">
        <w:rPr>
          <w:rFonts w:asciiTheme="majorHAnsi" w:hAnsiTheme="majorHAnsi"/>
        </w:rPr>
        <w:t xml:space="preserve">, V., P. </w:t>
      </w:r>
      <w:proofErr w:type="spellStart"/>
      <w:r w:rsidRPr="00632107">
        <w:rPr>
          <w:rFonts w:asciiTheme="majorHAnsi" w:hAnsiTheme="majorHAnsi"/>
        </w:rPr>
        <w:t>Zhai</w:t>
      </w:r>
      <w:proofErr w:type="spellEnd"/>
      <w:r w:rsidRPr="00632107">
        <w:rPr>
          <w:rFonts w:asciiTheme="majorHAnsi" w:hAnsiTheme="majorHAnsi"/>
        </w:rPr>
        <w:t xml:space="preserve">, H.-O. </w:t>
      </w:r>
      <w:proofErr w:type="spellStart"/>
      <w:r w:rsidRPr="00632107">
        <w:rPr>
          <w:rFonts w:asciiTheme="majorHAnsi" w:hAnsiTheme="majorHAnsi"/>
        </w:rPr>
        <w:t>Pörtner</w:t>
      </w:r>
      <w:proofErr w:type="spellEnd"/>
      <w:r w:rsidRPr="00632107">
        <w:rPr>
          <w:rFonts w:asciiTheme="majorHAnsi" w:hAnsiTheme="majorHAnsi"/>
        </w:rPr>
        <w:t xml:space="preserve">, D. Roberts, J. </w:t>
      </w:r>
      <w:proofErr w:type="spellStart"/>
      <w:r w:rsidRPr="00632107">
        <w:rPr>
          <w:rFonts w:asciiTheme="majorHAnsi" w:hAnsiTheme="majorHAnsi"/>
        </w:rPr>
        <w:t>Skea</w:t>
      </w:r>
      <w:proofErr w:type="spellEnd"/>
      <w:r w:rsidRPr="00632107">
        <w:rPr>
          <w:rFonts w:asciiTheme="majorHAnsi" w:hAnsiTheme="majorHAnsi"/>
        </w:rPr>
        <w:t xml:space="preserve">, P.R. Shukla, A. Pirani, W. </w:t>
      </w:r>
      <w:proofErr w:type="spellStart"/>
      <w:r w:rsidRPr="00632107">
        <w:rPr>
          <w:rFonts w:asciiTheme="majorHAnsi" w:hAnsiTheme="majorHAnsi"/>
        </w:rPr>
        <w:t>Moufouma-Okia</w:t>
      </w:r>
      <w:proofErr w:type="spellEnd"/>
      <w:r w:rsidRPr="00632107">
        <w:rPr>
          <w:rFonts w:asciiTheme="majorHAnsi" w:hAnsiTheme="majorHAnsi"/>
        </w:rPr>
        <w:t xml:space="preserve">, C. </w:t>
      </w:r>
      <w:proofErr w:type="spellStart"/>
      <w:r w:rsidRPr="00632107">
        <w:rPr>
          <w:rFonts w:asciiTheme="majorHAnsi" w:hAnsiTheme="majorHAnsi"/>
        </w:rPr>
        <w:t>Péan</w:t>
      </w:r>
      <w:proofErr w:type="spellEnd"/>
      <w:r w:rsidRPr="00632107">
        <w:rPr>
          <w:rFonts w:asciiTheme="majorHAnsi" w:hAnsiTheme="majorHAnsi"/>
        </w:rPr>
        <w:t xml:space="preserve">, R. </w:t>
      </w:r>
      <w:proofErr w:type="spellStart"/>
      <w:r w:rsidRPr="00632107">
        <w:rPr>
          <w:rFonts w:asciiTheme="majorHAnsi" w:hAnsiTheme="majorHAnsi"/>
        </w:rPr>
        <w:t>Pidcock</w:t>
      </w:r>
      <w:proofErr w:type="spellEnd"/>
      <w:r w:rsidRPr="00632107">
        <w:rPr>
          <w:rFonts w:asciiTheme="majorHAnsi" w:hAnsiTheme="majorHAnsi"/>
        </w:rPr>
        <w:t xml:space="preserve">, S. Connors, J.B.R. Matthews, Y. Chen, X. Zhou, M.I. </w:t>
      </w:r>
      <w:proofErr w:type="spellStart"/>
      <w:r w:rsidRPr="00632107">
        <w:rPr>
          <w:rFonts w:asciiTheme="majorHAnsi" w:hAnsiTheme="majorHAnsi"/>
        </w:rPr>
        <w:t>Gomis</w:t>
      </w:r>
      <w:proofErr w:type="spellEnd"/>
      <w:r w:rsidRPr="00632107">
        <w:rPr>
          <w:rFonts w:asciiTheme="majorHAnsi" w:hAnsiTheme="majorHAnsi"/>
        </w:rPr>
        <w:t xml:space="preserve">, E. </w:t>
      </w:r>
      <w:proofErr w:type="spellStart"/>
      <w:r w:rsidRPr="00632107">
        <w:rPr>
          <w:rFonts w:asciiTheme="majorHAnsi" w:hAnsiTheme="majorHAnsi"/>
        </w:rPr>
        <w:t>Lonnoy</w:t>
      </w:r>
      <w:proofErr w:type="spellEnd"/>
      <w:r w:rsidRPr="00632107">
        <w:rPr>
          <w:rFonts w:asciiTheme="majorHAnsi" w:hAnsiTheme="majorHAnsi"/>
        </w:rPr>
        <w:t xml:space="preserve">, T. </w:t>
      </w:r>
      <w:proofErr w:type="spellStart"/>
      <w:r w:rsidRPr="00632107">
        <w:rPr>
          <w:rFonts w:asciiTheme="majorHAnsi" w:hAnsiTheme="majorHAnsi"/>
        </w:rPr>
        <w:t>Maycock</w:t>
      </w:r>
      <w:proofErr w:type="spellEnd"/>
      <w:r w:rsidRPr="00632107">
        <w:rPr>
          <w:rFonts w:asciiTheme="majorHAnsi" w:hAnsiTheme="majorHAnsi"/>
        </w:rPr>
        <w:t xml:space="preserve">, M. </w:t>
      </w:r>
      <w:proofErr w:type="spellStart"/>
      <w:r w:rsidRPr="00632107">
        <w:rPr>
          <w:rFonts w:asciiTheme="majorHAnsi" w:hAnsiTheme="majorHAnsi"/>
        </w:rPr>
        <w:t>Tignor</w:t>
      </w:r>
      <w:proofErr w:type="spellEnd"/>
      <w:r w:rsidRPr="00632107">
        <w:rPr>
          <w:rFonts w:asciiTheme="majorHAnsi" w:hAnsiTheme="majorHAnsi"/>
        </w:rPr>
        <w:t xml:space="preserve">, and T. Waterfield (eds.)]. </w:t>
      </w:r>
      <w:proofErr w:type="gramStart"/>
      <w:r w:rsidRPr="00632107">
        <w:rPr>
          <w:rFonts w:asciiTheme="majorHAnsi" w:hAnsiTheme="majorHAnsi"/>
        </w:rPr>
        <w:t>World Meteorological Organization, Geneva, Switzerland, 32 pp.</w:t>
      </w:r>
      <w:proofErr w:type="gramEnd"/>
    </w:p>
  </w:endnote>
  <w:endnote w:id="67">
    <w:p w:rsidR="002E2CA6" w:rsidRPr="00632107" w:rsidRDefault="002E2CA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http://www.upi.com/Science_New s/2017/02/28/Diverse-forests- tend-to-be-healthier-more- resilient-Study/3151488295356/ ?</w:t>
      </w:r>
      <w:proofErr w:type="spellStart"/>
      <w:r w:rsidRPr="00632107">
        <w:rPr>
          <w:rFonts w:asciiTheme="majorHAnsi" w:hAnsiTheme="majorHAnsi"/>
        </w:rPr>
        <w:t>utm_source</w:t>
      </w:r>
      <w:proofErr w:type="spellEnd"/>
      <w:r w:rsidRPr="00632107">
        <w:rPr>
          <w:rFonts w:asciiTheme="majorHAnsi" w:hAnsiTheme="majorHAnsi"/>
        </w:rPr>
        <w:t>=</w:t>
      </w:r>
      <w:proofErr w:type="spellStart"/>
      <w:r w:rsidRPr="00632107">
        <w:rPr>
          <w:rFonts w:asciiTheme="majorHAnsi" w:hAnsiTheme="majorHAnsi"/>
        </w:rPr>
        <w:t>sec&amp;utm_campaign</w:t>
      </w:r>
      <w:proofErr w:type="spellEnd"/>
      <w:r w:rsidRPr="00632107">
        <w:rPr>
          <w:rFonts w:asciiTheme="majorHAnsi" w:hAnsiTheme="majorHAnsi"/>
        </w:rPr>
        <w:t xml:space="preserve">= </w:t>
      </w:r>
      <w:proofErr w:type="spellStart"/>
      <w:r w:rsidRPr="00632107">
        <w:rPr>
          <w:rFonts w:asciiTheme="majorHAnsi" w:hAnsiTheme="majorHAnsi"/>
        </w:rPr>
        <w:t>sl&amp;utm_medium</w:t>
      </w:r>
      <w:proofErr w:type="spellEnd"/>
      <w:r w:rsidRPr="00632107">
        <w:rPr>
          <w:rFonts w:asciiTheme="majorHAnsi" w:hAnsiTheme="majorHAnsi"/>
        </w:rPr>
        <w:t>=12</w:t>
      </w:r>
    </w:p>
  </w:endnote>
  <w:endnote w:id="68">
    <w:p w:rsidR="002E2CA6" w:rsidRPr="00632107" w:rsidRDefault="002E2CA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The flaw in current bioenergy emission accounting originates from a misapplication of guidance provided for the national-level carbon accounting under UNFCCC. In the land use sector forest clearing is not adequately accounted for, because when forests are replaced by some other form of vegetation it is no longer considered ‘deforestation’ and is regarded as ‘carbon neutral’. Thus, in the case of industrial logging of native forests neither biodiversity nor the vast range of environmental goods and services provided by native forests are taken into account.  The immense carbon storing capacity lost when forest ground ecosystems are disrupted by industrial logging is completely ignored.</w:t>
      </w:r>
    </w:p>
  </w:endnote>
  <w:endnote w:id="69">
    <w:p w:rsidR="002E2CA6" w:rsidRPr="00632107" w:rsidRDefault="002E2CA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‘few countries provide annual figures for their land use-related emissions’, The LULUCF Sector: Ever-Difficult Estimations, Climate Chance (2018) Sector-Based Action, Book 1 of  The Annual Report Of The Global Observatory On Non-State Climate Action </w:t>
      </w:r>
    </w:p>
  </w:endnote>
  <w:endnote w:id="70">
    <w:p w:rsidR="002E2CA6" w:rsidRPr="00632107" w:rsidRDefault="002E2CA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Timothy D. </w:t>
      </w:r>
      <w:proofErr w:type="spellStart"/>
      <w:r w:rsidRPr="00632107">
        <w:rPr>
          <w:rFonts w:asciiTheme="majorHAnsi" w:hAnsiTheme="majorHAnsi"/>
        </w:rPr>
        <w:t>Searchinger</w:t>
      </w:r>
      <w:proofErr w:type="spellEnd"/>
      <w:r w:rsidRPr="00632107">
        <w:rPr>
          <w:rFonts w:asciiTheme="majorHAnsi" w:hAnsiTheme="majorHAnsi"/>
        </w:rPr>
        <w:t xml:space="preserve">,* Steven P. Hamburg,* Jerry </w:t>
      </w:r>
      <w:proofErr w:type="spellStart"/>
      <w:r w:rsidRPr="00632107">
        <w:rPr>
          <w:rFonts w:asciiTheme="majorHAnsi" w:hAnsiTheme="majorHAnsi"/>
        </w:rPr>
        <w:t>Melillo</w:t>
      </w:r>
      <w:proofErr w:type="spellEnd"/>
      <w:r w:rsidRPr="00632107">
        <w:rPr>
          <w:rFonts w:asciiTheme="majorHAnsi" w:hAnsiTheme="majorHAnsi"/>
        </w:rPr>
        <w:t xml:space="preserve">, William </w:t>
      </w:r>
      <w:proofErr w:type="spellStart"/>
      <w:r w:rsidRPr="00632107">
        <w:rPr>
          <w:rFonts w:asciiTheme="majorHAnsi" w:hAnsiTheme="majorHAnsi"/>
        </w:rPr>
        <w:t>Chameides</w:t>
      </w:r>
      <w:proofErr w:type="spellEnd"/>
      <w:r w:rsidRPr="00632107">
        <w:rPr>
          <w:rFonts w:asciiTheme="majorHAnsi" w:hAnsiTheme="majorHAnsi"/>
        </w:rPr>
        <w:t xml:space="preserve">, Peter </w:t>
      </w:r>
      <w:proofErr w:type="spellStart"/>
      <w:r w:rsidRPr="00632107">
        <w:rPr>
          <w:rFonts w:asciiTheme="majorHAnsi" w:hAnsiTheme="majorHAnsi"/>
        </w:rPr>
        <w:t>Havlik</w:t>
      </w:r>
      <w:proofErr w:type="spellEnd"/>
      <w:r w:rsidRPr="00632107">
        <w:rPr>
          <w:rFonts w:asciiTheme="majorHAnsi" w:hAnsiTheme="majorHAnsi"/>
        </w:rPr>
        <w:t xml:space="preserve">, Daniel M. </w:t>
      </w:r>
      <w:proofErr w:type="spellStart"/>
      <w:r w:rsidRPr="00632107">
        <w:rPr>
          <w:rFonts w:asciiTheme="majorHAnsi" w:hAnsiTheme="majorHAnsi"/>
        </w:rPr>
        <w:t>Kammen</w:t>
      </w:r>
      <w:proofErr w:type="spellEnd"/>
      <w:r w:rsidRPr="00632107">
        <w:rPr>
          <w:rFonts w:asciiTheme="majorHAnsi" w:hAnsiTheme="majorHAnsi"/>
        </w:rPr>
        <w:t xml:space="preserve">, Gene E. Likens, Ruben N. </w:t>
      </w:r>
      <w:proofErr w:type="spellStart"/>
      <w:r w:rsidRPr="00632107">
        <w:rPr>
          <w:rFonts w:asciiTheme="majorHAnsi" w:hAnsiTheme="majorHAnsi"/>
        </w:rPr>
        <w:t>Lubowski</w:t>
      </w:r>
      <w:proofErr w:type="spellEnd"/>
      <w:r w:rsidRPr="00632107">
        <w:rPr>
          <w:rFonts w:asciiTheme="majorHAnsi" w:hAnsiTheme="majorHAnsi"/>
        </w:rPr>
        <w:t xml:space="preserve">, Michael </w:t>
      </w:r>
      <w:proofErr w:type="spellStart"/>
      <w:r w:rsidRPr="00632107">
        <w:rPr>
          <w:rFonts w:asciiTheme="majorHAnsi" w:hAnsiTheme="majorHAnsi"/>
        </w:rPr>
        <w:t>Obersteiner</w:t>
      </w:r>
      <w:proofErr w:type="spellEnd"/>
      <w:r w:rsidRPr="00632107">
        <w:rPr>
          <w:rFonts w:asciiTheme="majorHAnsi" w:hAnsiTheme="majorHAnsi"/>
        </w:rPr>
        <w:t xml:space="preserve">, Michael Oppenheimer, G. Philip Robertson, William H. Schlesinger, G. David </w:t>
      </w:r>
      <w:proofErr w:type="spellStart"/>
      <w:r w:rsidRPr="00632107">
        <w:rPr>
          <w:rFonts w:asciiTheme="majorHAnsi" w:hAnsiTheme="majorHAnsi"/>
        </w:rPr>
        <w:t>Tilman</w:t>
      </w:r>
      <w:proofErr w:type="spellEnd"/>
      <w:r w:rsidRPr="00632107">
        <w:rPr>
          <w:rFonts w:asciiTheme="majorHAnsi" w:hAnsiTheme="majorHAnsi"/>
        </w:rPr>
        <w:t>, Fixing a Critical Climate Accounting Error, 2009</w:t>
      </w:r>
    </w:p>
  </w:endnote>
  <w:endnote w:id="71">
    <w:p w:rsidR="002E2CA6" w:rsidRPr="00632107" w:rsidRDefault="002E2CA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“In response to this latest EU decision, 796 lead scientists from around the world, including two Nobel Laureates, wrote detailed letters to the EU Parliament condemning the recent decision regarding forest biomass.” </w:t>
      </w:r>
      <w:proofErr w:type="spellStart"/>
      <w:r w:rsidRPr="00632107">
        <w:rPr>
          <w:rFonts w:asciiTheme="majorHAnsi" w:hAnsiTheme="majorHAnsi"/>
        </w:rPr>
        <w:t>Moomaw</w:t>
      </w:r>
      <w:proofErr w:type="spellEnd"/>
      <w:r w:rsidRPr="00632107">
        <w:rPr>
          <w:rFonts w:asciiTheme="majorHAnsi" w:hAnsiTheme="majorHAnsi"/>
        </w:rPr>
        <w:t>, W. (2018) EU Bioenergy Policies Will Increase Carbon Dioxide Concentrations. GDAE Climate Policy Brief #7 http://www.ase.tufts.edu/gdae/Pubs/climate/ClimatePolicyBrief7.pdf</w:t>
      </w:r>
    </w:p>
  </w:endnote>
  <w:endnote w:id="72">
    <w:p w:rsidR="00827202" w:rsidRPr="00632107" w:rsidRDefault="002E2CA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Klaus Josef Hennenberg1*, Hannes </w:t>
      </w:r>
      <w:proofErr w:type="spellStart"/>
      <w:r w:rsidRPr="00632107">
        <w:rPr>
          <w:rFonts w:asciiTheme="majorHAnsi" w:hAnsiTheme="majorHAnsi"/>
        </w:rPr>
        <w:t>Böttcher</w:t>
      </w:r>
      <w:proofErr w:type="spellEnd"/>
      <w:r w:rsidRPr="00632107">
        <w:rPr>
          <w:rFonts w:asciiTheme="majorHAnsi" w:hAnsiTheme="majorHAnsi"/>
        </w:rPr>
        <w:t xml:space="preserve"> and Corey J. A. Bradshaw, Revised European Union renewable-energy policies erode nature protection. </w:t>
      </w:r>
      <w:proofErr w:type="gramStart"/>
      <w:r w:rsidRPr="00632107">
        <w:rPr>
          <w:rFonts w:asciiTheme="majorHAnsi" w:hAnsiTheme="majorHAnsi"/>
        </w:rPr>
        <w:t xml:space="preserve">Letter to Editor, in Nature, Ecology and Evolution, </w:t>
      </w:r>
      <w:hyperlink r:id="rId7" w:history="1">
        <w:r w:rsidR="00827202" w:rsidRPr="00974793">
          <w:rPr>
            <w:rStyle w:val="Hyperlink"/>
            <w:rFonts w:asciiTheme="majorHAnsi" w:hAnsiTheme="majorHAnsi"/>
          </w:rPr>
          <w:t>https://doi.org/10.1038/s41559-018-0659-3</w:t>
        </w:r>
      </w:hyperlink>
      <w:r w:rsidR="00827202">
        <w:rPr>
          <w:rFonts w:asciiTheme="majorHAnsi" w:hAnsiTheme="majorHAnsi"/>
        </w:rPr>
        <w:t xml:space="preserve"> .</w:t>
      </w:r>
      <w:proofErr w:type="gramEnd"/>
      <w:r w:rsidR="00827202">
        <w:rPr>
          <w:rFonts w:asciiTheme="majorHAnsi" w:hAnsiTheme="majorHAnsi"/>
        </w:rPr>
        <w:t xml:space="preserve">  Explanation of nature protection erosion in accounting loophole here also: </w:t>
      </w:r>
      <w:hyperlink r:id="rId8" w:history="1">
        <w:r w:rsidR="00827202" w:rsidRPr="00974793">
          <w:rPr>
            <w:rStyle w:val="Hyperlink"/>
            <w:rFonts w:asciiTheme="majorHAnsi" w:hAnsiTheme="majorHAnsi"/>
          </w:rPr>
          <w:t>https://blog.oeko.de/erosion-of-european-sustainability-requirements-for-bioenergy/</w:t>
        </w:r>
      </w:hyperlink>
    </w:p>
  </w:endnote>
  <w:endnote w:id="73">
    <w:p w:rsidR="002E2CA6" w:rsidRPr="00632107" w:rsidRDefault="002E2CA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w:t>
      </w:r>
      <w:proofErr w:type="gramStart"/>
      <w:r w:rsidRPr="00632107">
        <w:rPr>
          <w:rFonts w:asciiTheme="majorHAnsi" w:hAnsiTheme="majorHAnsi"/>
        </w:rPr>
        <w:t>From an average of 0.4 Gt CO2 yr</w:t>
      </w:r>
      <w:r w:rsidRPr="00632107">
        <w:rPr>
          <w:rFonts w:asciiTheme="majorHAnsi" w:hAnsiTheme="majorHAnsi"/>
          <w:vertAlign w:val="superscript"/>
        </w:rPr>
        <w:t>-1</w:t>
      </w:r>
      <w:r w:rsidRPr="00632107">
        <w:rPr>
          <w:rFonts w:asciiTheme="majorHAnsi" w:hAnsiTheme="majorHAnsi"/>
        </w:rPr>
        <w:t xml:space="preserve"> in the period 1991–2000 to an average of 1.0 Gt CO2 yr</w:t>
      </w:r>
      <w:r w:rsidRPr="00632107">
        <w:rPr>
          <w:rFonts w:asciiTheme="majorHAnsi" w:hAnsiTheme="majorHAnsi"/>
          <w:vertAlign w:val="superscript"/>
        </w:rPr>
        <w:t>-1</w:t>
      </w:r>
      <w:r w:rsidRPr="00632107">
        <w:rPr>
          <w:rFonts w:asciiTheme="majorHAnsi" w:hAnsiTheme="majorHAnsi"/>
        </w:rPr>
        <w:t xml:space="preserve"> for 2011–2015Ibid, http://www.fao.org/docrep/009/j9345e/j9345e07.htm.</w:t>
      </w:r>
      <w:proofErr w:type="gramEnd"/>
      <w:r w:rsidRPr="00632107">
        <w:rPr>
          <w:rFonts w:asciiTheme="majorHAnsi" w:hAnsiTheme="majorHAnsi"/>
        </w:rPr>
        <w:t xml:space="preserve"> Note</w:t>
      </w:r>
      <w:proofErr w:type="gramStart"/>
      <w:r w:rsidRPr="00632107">
        <w:rPr>
          <w:rFonts w:asciiTheme="majorHAnsi" w:hAnsiTheme="majorHAnsi"/>
        </w:rPr>
        <w:t>,</w:t>
      </w:r>
      <w:proofErr w:type="gramEnd"/>
      <w:r w:rsidRPr="00632107">
        <w:rPr>
          <w:rFonts w:asciiTheme="majorHAnsi" w:hAnsiTheme="majorHAnsi"/>
        </w:rPr>
        <w:t xml:space="preserve"> this is unrelated to deforestation for agriculture.</w:t>
      </w:r>
    </w:p>
  </w:endnote>
  <w:endnote w:id="74">
    <w:p w:rsidR="002E2CA6" w:rsidRPr="00632107" w:rsidRDefault="002E2CA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https://www.statista.com/statistics/748707/wood-pellet-exports-in-us/</w:t>
      </w:r>
    </w:p>
  </w:endnote>
  <w:endnote w:id="75">
    <w:p w:rsidR="002E2CA6" w:rsidRPr="00632107" w:rsidRDefault="002E2CA6" w:rsidP="002E2CA6">
      <w:pPr>
        <w:pStyle w:val="9Endnote"/>
        <w:rPr>
          <w:rFonts w:asciiTheme="majorHAnsi" w:hAnsiTheme="majorHAnsi"/>
          <w:color w:val="272727"/>
        </w:rPr>
      </w:pPr>
      <w:r w:rsidRPr="00632107">
        <w:rPr>
          <w:rStyle w:val="EndnoteReference"/>
          <w:rFonts w:asciiTheme="majorHAnsi" w:hAnsiTheme="majorHAnsi"/>
        </w:rPr>
        <w:endnoteRef/>
      </w:r>
      <w:r w:rsidRPr="00632107">
        <w:rPr>
          <w:rFonts w:asciiTheme="majorHAnsi" w:hAnsiTheme="majorHAnsi"/>
        </w:rPr>
        <w:t xml:space="preserve"> </w:t>
      </w:r>
      <w:r w:rsidRPr="00632107">
        <w:rPr>
          <w:rFonts w:asciiTheme="majorHAnsi" w:hAnsiTheme="majorHAnsi"/>
          <w:color w:val="272727"/>
        </w:rPr>
        <w:t xml:space="preserve">Modelled 2 °C pathways assume a level of bioenergy production by 2050 that would require doubling the current harvest of all global biomass for all uses (food, feed and </w:t>
      </w:r>
      <w:proofErr w:type="spellStart"/>
      <w:r w:rsidRPr="00632107">
        <w:rPr>
          <w:rFonts w:asciiTheme="majorHAnsi" w:hAnsiTheme="majorHAnsi"/>
          <w:color w:val="272727"/>
        </w:rPr>
        <w:t>fibre</w:t>
      </w:r>
      <w:proofErr w:type="spellEnd"/>
      <w:r w:rsidRPr="00632107">
        <w:rPr>
          <w:rFonts w:asciiTheme="majorHAnsi" w:hAnsiTheme="majorHAnsi"/>
          <w:color w:val="272727"/>
        </w:rPr>
        <w:t xml:space="preserve">) (Dooley et al., 2018; </w:t>
      </w:r>
      <w:proofErr w:type="spellStart"/>
      <w:r w:rsidRPr="00632107">
        <w:rPr>
          <w:rFonts w:asciiTheme="majorHAnsi" w:hAnsiTheme="majorHAnsi"/>
          <w:color w:val="272727"/>
        </w:rPr>
        <w:t>Searchinger</w:t>
      </w:r>
      <w:proofErr w:type="spellEnd"/>
      <w:r w:rsidRPr="00632107">
        <w:rPr>
          <w:rFonts w:asciiTheme="majorHAnsi" w:hAnsiTheme="majorHAnsi"/>
          <w:color w:val="272727"/>
        </w:rPr>
        <w:t xml:space="preserve"> </w:t>
      </w:r>
      <w:proofErr w:type="spellStart"/>
      <w:r w:rsidRPr="00632107">
        <w:rPr>
          <w:rFonts w:asciiTheme="majorHAnsi" w:hAnsiTheme="majorHAnsi"/>
          <w:color w:val="272727"/>
        </w:rPr>
        <w:t>etal</w:t>
      </w:r>
      <w:proofErr w:type="spellEnd"/>
      <w:r w:rsidRPr="00632107">
        <w:rPr>
          <w:rFonts w:asciiTheme="majorHAnsi" w:hAnsiTheme="majorHAnsi"/>
          <w:color w:val="272727"/>
        </w:rPr>
        <w:t xml:space="preserve">., 2015). </w:t>
      </w:r>
    </w:p>
    <w:p w:rsidR="002E2CA6" w:rsidRPr="00632107" w:rsidRDefault="002E2CA6" w:rsidP="00632107">
      <w:pPr>
        <w:spacing w:after="0"/>
        <w:rPr>
          <w:rFonts w:asciiTheme="majorHAnsi" w:eastAsia="ヒラギノ角ゴ Pro W3" w:hAnsiTheme="majorHAnsi" w:cs="Times New Roman"/>
          <w:color w:val="000000"/>
          <w:sz w:val="22"/>
          <w:szCs w:val="24"/>
        </w:rPr>
      </w:pPr>
      <w:r w:rsidRPr="002E2CA6">
        <w:rPr>
          <w:rFonts w:asciiTheme="majorHAnsi" w:eastAsia="ヒラギノ角ゴ Pro W3" w:hAnsiTheme="majorHAnsi" w:cs="Times New Roman"/>
          <w:color w:val="272727"/>
          <w:sz w:val="22"/>
          <w:szCs w:val="24"/>
        </w:rPr>
        <w:t>Field and Mach (2017,p.707) highlight the issues at stake, suggesting that converting land  scale required for bioenergy in many modelled climate change mitigation scenarios would “pit climate change responses against food security and biodiversity protection”. Extracted from “</w:t>
      </w:r>
      <w:r w:rsidRPr="002E2CA6">
        <w:rPr>
          <w:rFonts w:asciiTheme="majorHAnsi" w:eastAsia="ヒラギノ角ゴ Pro W3" w:hAnsiTheme="majorHAnsi" w:cs="Times New Roman"/>
          <w:color w:val="000000"/>
          <w:sz w:val="22"/>
          <w:szCs w:val="24"/>
        </w:rPr>
        <w:t xml:space="preserve">The role of the land sector in ambitious climate action: </w:t>
      </w:r>
      <w:r w:rsidRPr="002E2CA6">
        <w:rPr>
          <w:rFonts w:asciiTheme="majorHAnsi" w:eastAsia="ヒラギノ角ゴ Pro W3" w:hAnsiTheme="majorHAnsi" w:cs="Times New Roman"/>
          <w:color w:val="1C1C0B"/>
          <w:sz w:val="22"/>
          <w:szCs w:val="24"/>
        </w:rPr>
        <w:t>Missing Pathways to 1.5°C</w:t>
      </w:r>
      <w:r w:rsidRPr="002E2CA6">
        <w:rPr>
          <w:rFonts w:asciiTheme="majorHAnsi" w:eastAsia="ヒラギノ角ゴ Pro W3" w:hAnsiTheme="majorHAnsi" w:cs="Times New Roman"/>
          <w:color w:val="000000"/>
          <w:sz w:val="22"/>
          <w:szCs w:val="24"/>
        </w:rPr>
        <w:t xml:space="preserve">, </w:t>
      </w:r>
      <w:r w:rsidRPr="002E2CA6">
        <w:rPr>
          <w:rFonts w:asciiTheme="majorHAnsi" w:eastAsia="ヒラギノ角ゴ Pro W3" w:hAnsiTheme="majorHAnsi" w:cs="Times New Roman"/>
          <w:color w:val="FB3407"/>
          <w:sz w:val="22"/>
          <w:szCs w:val="24"/>
        </w:rPr>
        <w:t>CLARA,</w:t>
      </w:r>
      <w:r w:rsidRPr="002E2CA6">
        <w:rPr>
          <w:rFonts w:asciiTheme="majorHAnsi" w:eastAsia="ヒラギノ角ゴ Pro W3" w:hAnsiTheme="majorHAnsi" w:cs="Times New Roman"/>
          <w:color w:val="000000"/>
          <w:sz w:val="22"/>
          <w:szCs w:val="24"/>
        </w:rPr>
        <w:t xml:space="preserve"> Climate ambition that safeguards land rights, biodiversity and food sovereignty</w:t>
      </w:r>
      <w:r w:rsidR="00632107">
        <w:rPr>
          <w:rFonts w:asciiTheme="majorHAnsi" w:eastAsia="ヒラギノ角ゴ Pro W3" w:hAnsiTheme="majorHAnsi" w:cs="Times New Roman"/>
          <w:color w:val="000000"/>
          <w:sz w:val="22"/>
          <w:szCs w:val="24"/>
        </w:rPr>
        <w:t xml:space="preserve">, </w:t>
      </w:r>
      <w:r w:rsidRPr="00632107">
        <w:rPr>
          <w:rFonts w:asciiTheme="majorHAnsi" w:eastAsia="ヒラギノ角ゴ Pro W3" w:hAnsiTheme="majorHAnsi" w:cs="Times New Roman"/>
          <w:color w:val="000000"/>
          <w:sz w:val="22"/>
          <w:szCs w:val="24"/>
        </w:rPr>
        <w:t xml:space="preserve">Climate Land Ambition and Rights Alliance. Lead authors: Kate Dooley, Doreen </w:t>
      </w:r>
      <w:proofErr w:type="spellStart"/>
      <w:r w:rsidRPr="00632107">
        <w:rPr>
          <w:rFonts w:asciiTheme="majorHAnsi" w:eastAsia="ヒラギノ角ゴ Pro W3" w:hAnsiTheme="majorHAnsi" w:cs="Times New Roman"/>
          <w:color w:val="000000"/>
          <w:sz w:val="22"/>
          <w:szCs w:val="24"/>
        </w:rPr>
        <w:t>Stabinsky</w:t>
      </w:r>
      <w:proofErr w:type="spellEnd"/>
      <w:r w:rsidRPr="00632107">
        <w:rPr>
          <w:rFonts w:asciiTheme="majorHAnsi" w:eastAsia="ヒラギノ角ゴ Pro W3" w:hAnsiTheme="majorHAnsi" w:cs="Times New Roman"/>
          <w:color w:val="000000"/>
          <w:sz w:val="22"/>
          <w:szCs w:val="24"/>
        </w:rPr>
        <w:t xml:space="preserve">. Contributing authors: Kelly Stone, </w:t>
      </w:r>
      <w:proofErr w:type="spellStart"/>
      <w:r w:rsidRPr="00632107">
        <w:rPr>
          <w:rFonts w:asciiTheme="majorHAnsi" w:eastAsia="ヒラギノ角ゴ Pro W3" w:hAnsiTheme="majorHAnsi" w:cs="Times New Roman"/>
          <w:color w:val="000000"/>
          <w:sz w:val="22"/>
          <w:szCs w:val="24"/>
        </w:rPr>
        <w:t>Shefali</w:t>
      </w:r>
      <w:proofErr w:type="spellEnd"/>
      <w:r w:rsidRPr="00632107">
        <w:rPr>
          <w:rFonts w:asciiTheme="majorHAnsi" w:eastAsia="ヒラギノ角ゴ Pro W3" w:hAnsiTheme="majorHAnsi" w:cs="Times New Roman"/>
          <w:color w:val="000000"/>
          <w:sz w:val="22"/>
          <w:szCs w:val="24"/>
        </w:rPr>
        <w:t xml:space="preserve"> Sharma, Teresa Anderson, Doug </w:t>
      </w:r>
      <w:proofErr w:type="spellStart"/>
      <w:r w:rsidRPr="00632107">
        <w:rPr>
          <w:rFonts w:asciiTheme="majorHAnsi" w:eastAsia="ヒラギノ角ゴ Pro W3" w:hAnsiTheme="majorHAnsi" w:cs="Times New Roman"/>
          <w:color w:val="000000"/>
          <w:sz w:val="22"/>
          <w:szCs w:val="24"/>
        </w:rPr>
        <w:t>Gurian</w:t>
      </w:r>
      <w:proofErr w:type="spellEnd"/>
      <w:r w:rsidRPr="00632107">
        <w:rPr>
          <w:rFonts w:asciiTheme="majorHAnsi" w:eastAsia="ヒラギノ角ゴ Pro W3" w:hAnsiTheme="majorHAnsi" w:cs="Times New Roman"/>
          <w:color w:val="000000"/>
          <w:sz w:val="22"/>
          <w:szCs w:val="24"/>
        </w:rPr>
        <w:t xml:space="preserve">-Sherman, </w:t>
      </w:r>
      <w:proofErr w:type="gramStart"/>
      <w:r w:rsidRPr="00632107">
        <w:rPr>
          <w:rFonts w:asciiTheme="majorHAnsi" w:eastAsia="ヒラギノ角ゴ Pro W3" w:hAnsiTheme="majorHAnsi" w:cs="Times New Roman"/>
          <w:color w:val="000000"/>
          <w:sz w:val="22"/>
          <w:szCs w:val="24"/>
        </w:rPr>
        <w:t>Peter</w:t>
      </w:r>
      <w:proofErr w:type="gramEnd"/>
      <w:r w:rsidRPr="00632107">
        <w:rPr>
          <w:rFonts w:asciiTheme="majorHAnsi" w:eastAsia="ヒラギノ角ゴ Pro W3" w:hAnsiTheme="majorHAnsi" w:cs="Times New Roman"/>
          <w:color w:val="000000"/>
          <w:sz w:val="22"/>
          <w:szCs w:val="24"/>
        </w:rPr>
        <w:t xml:space="preserve"> Riggs.  Also see: van </w:t>
      </w:r>
      <w:proofErr w:type="spellStart"/>
      <w:r w:rsidRPr="00632107">
        <w:rPr>
          <w:rFonts w:asciiTheme="majorHAnsi" w:eastAsia="ヒラギノ角ゴ Pro W3" w:hAnsiTheme="majorHAnsi" w:cs="Times New Roman"/>
          <w:color w:val="000000"/>
          <w:sz w:val="22"/>
          <w:szCs w:val="24"/>
        </w:rPr>
        <w:t>Vuuren</w:t>
      </w:r>
      <w:proofErr w:type="spellEnd"/>
      <w:r w:rsidRPr="00632107">
        <w:rPr>
          <w:rFonts w:asciiTheme="majorHAnsi" w:eastAsia="ヒラギノ角ゴ Pro W3" w:hAnsiTheme="majorHAnsi" w:cs="Times New Roman"/>
          <w:color w:val="000000"/>
          <w:sz w:val="22"/>
          <w:szCs w:val="24"/>
        </w:rPr>
        <w:t xml:space="preserve"> DP, van Vliet J, </w:t>
      </w:r>
      <w:proofErr w:type="spellStart"/>
      <w:r w:rsidRPr="00632107">
        <w:rPr>
          <w:rFonts w:asciiTheme="majorHAnsi" w:eastAsia="ヒラギノ角ゴ Pro W3" w:hAnsiTheme="majorHAnsi" w:cs="Times New Roman"/>
          <w:color w:val="000000"/>
          <w:sz w:val="22"/>
          <w:szCs w:val="24"/>
        </w:rPr>
        <w:t>Stehfest</w:t>
      </w:r>
      <w:proofErr w:type="spellEnd"/>
      <w:r w:rsidRPr="00632107">
        <w:rPr>
          <w:rFonts w:asciiTheme="majorHAnsi" w:eastAsia="ヒラギノ角ゴ Pro W3" w:hAnsiTheme="majorHAnsi" w:cs="Times New Roman"/>
          <w:color w:val="000000"/>
          <w:sz w:val="22"/>
          <w:szCs w:val="24"/>
        </w:rPr>
        <w:t xml:space="preserve"> E (2009) Future bio-energy potential under various natural constraints. Energy Policy 37:4220–4230.</w:t>
      </w:r>
    </w:p>
  </w:endnote>
  <w:endnote w:id="76">
    <w:p w:rsidR="00CC042A" w:rsidRDefault="00CC042A">
      <w:pPr>
        <w:pStyle w:val="EndnoteText"/>
      </w:pPr>
      <w:r>
        <w:rPr>
          <w:rStyle w:val="EndnoteReference"/>
        </w:rPr>
        <w:endnoteRef/>
      </w:r>
      <w:r w:rsidRPr="00CC042A">
        <w:rPr>
          <w:rFonts w:asciiTheme="majorHAnsi" w:hAnsiTheme="majorHAnsi"/>
        </w:rPr>
        <w:t>https://www.thetimes.co.uk/article/britain-must-plant-billions-of-trees-says-committee-on-climate-change-786mpclfr</w:t>
      </w:r>
      <w:r>
        <w:t xml:space="preserve"> </w:t>
      </w:r>
    </w:p>
  </w:endnote>
  <w:endnote w:id="77">
    <w:p w:rsidR="002E2CA6" w:rsidRPr="00632107" w:rsidRDefault="002E2CA6">
      <w:pPr>
        <w:pStyle w:val="EndnoteText"/>
        <w:rPr>
          <w:rFonts w:asciiTheme="majorHAnsi" w:hAnsiTheme="majorHAnsi"/>
        </w:rPr>
      </w:pPr>
      <w:r w:rsidRPr="00632107">
        <w:rPr>
          <w:rStyle w:val="EndnoteReference"/>
          <w:rFonts w:asciiTheme="majorHAnsi" w:hAnsiTheme="majorHAnsi"/>
        </w:rPr>
        <w:endnoteRef/>
      </w:r>
      <w:r w:rsidRPr="00632107">
        <w:rPr>
          <w:rFonts w:asciiTheme="majorHAnsi" w:hAnsiTheme="majorHAnsi"/>
        </w:rPr>
        <w:t xml:space="preserve"> C.3.4 </w:t>
      </w:r>
      <w:proofErr w:type="gramStart"/>
      <w:r w:rsidRPr="00632107">
        <w:rPr>
          <w:rFonts w:asciiTheme="majorHAnsi" w:hAnsiTheme="majorHAnsi"/>
        </w:rPr>
        <w:t>Most</w:t>
      </w:r>
      <w:proofErr w:type="gramEnd"/>
      <w:r w:rsidRPr="00632107">
        <w:rPr>
          <w:rFonts w:asciiTheme="majorHAnsi" w:hAnsiTheme="majorHAnsi"/>
        </w:rPr>
        <w:t xml:space="preserve"> current and potential CDR measures could have significant impacts on land, energy, water or nutrients if deployed at large scale (high confidence). Afforestation and bioenergy may compete with other land uses and may have significant impacts on agricultural and food systems, biodiversity, and other ecosystem functions and services (high confidence).  </w:t>
      </w:r>
      <w:proofErr w:type="gramStart"/>
      <w:r w:rsidRPr="00632107">
        <w:rPr>
          <w:rFonts w:asciiTheme="majorHAnsi" w:hAnsiTheme="majorHAnsi"/>
        </w:rPr>
        <w:t>Global Warming of 1.5°C.</w:t>
      </w:r>
      <w:proofErr w:type="gramEnd"/>
      <w:r w:rsidRPr="00632107">
        <w:rPr>
          <w:rFonts w:asciiTheme="majorHAnsi" w:hAnsiTheme="majorHAnsi"/>
        </w:rPr>
        <w:t xml:space="preserve">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w:t>
      </w:r>
      <w:proofErr w:type="spellStart"/>
      <w:r w:rsidRPr="00632107">
        <w:rPr>
          <w:rFonts w:asciiTheme="majorHAnsi" w:hAnsiTheme="majorHAnsi"/>
        </w:rPr>
        <w:t>Delmotte</w:t>
      </w:r>
      <w:proofErr w:type="spellEnd"/>
      <w:r w:rsidRPr="00632107">
        <w:rPr>
          <w:rFonts w:asciiTheme="majorHAnsi" w:hAnsiTheme="majorHAnsi"/>
        </w:rPr>
        <w:t xml:space="preserve">, V., P. </w:t>
      </w:r>
      <w:proofErr w:type="spellStart"/>
      <w:r w:rsidRPr="00632107">
        <w:rPr>
          <w:rFonts w:asciiTheme="majorHAnsi" w:hAnsiTheme="majorHAnsi"/>
        </w:rPr>
        <w:t>Zhai</w:t>
      </w:r>
      <w:proofErr w:type="spellEnd"/>
      <w:r w:rsidRPr="00632107">
        <w:rPr>
          <w:rFonts w:asciiTheme="majorHAnsi" w:hAnsiTheme="majorHAnsi"/>
        </w:rPr>
        <w:t xml:space="preserve">, H.-O. </w:t>
      </w:r>
      <w:proofErr w:type="spellStart"/>
      <w:r w:rsidRPr="00632107">
        <w:rPr>
          <w:rFonts w:asciiTheme="majorHAnsi" w:hAnsiTheme="majorHAnsi"/>
        </w:rPr>
        <w:t>Pörtner</w:t>
      </w:r>
      <w:proofErr w:type="spellEnd"/>
      <w:r w:rsidRPr="00632107">
        <w:rPr>
          <w:rFonts w:asciiTheme="majorHAnsi" w:hAnsiTheme="majorHAnsi"/>
        </w:rPr>
        <w:t xml:space="preserve">, D. Roberts, J. </w:t>
      </w:r>
      <w:proofErr w:type="spellStart"/>
      <w:r w:rsidRPr="00632107">
        <w:rPr>
          <w:rFonts w:asciiTheme="majorHAnsi" w:hAnsiTheme="majorHAnsi"/>
        </w:rPr>
        <w:t>Skea</w:t>
      </w:r>
      <w:proofErr w:type="spellEnd"/>
      <w:r w:rsidRPr="00632107">
        <w:rPr>
          <w:rFonts w:asciiTheme="majorHAnsi" w:hAnsiTheme="majorHAnsi"/>
        </w:rPr>
        <w:t xml:space="preserve">, P.R. Shukla, A. Pirani, W. </w:t>
      </w:r>
      <w:proofErr w:type="spellStart"/>
      <w:r w:rsidRPr="00632107">
        <w:rPr>
          <w:rFonts w:asciiTheme="majorHAnsi" w:hAnsiTheme="majorHAnsi"/>
        </w:rPr>
        <w:t>Moufouma-Okia</w:t>
      </w:r>
      <w:proofErr w:type="spellEnd"/>
      <w:r w:rsidRPr="00632107">
        <w:rPr>
          <w:rFonts w:asciiTheme="majorHAnsi" w:hAnsiTheme="majorHAnsi"/>
        </w:rPr>
        <w:t xml:space="preserve">, C. </w:t>
      </w:r>
      <w:proofErr w:type="spellStart"/>
      <w:r w:rsidRPr="00632107">
        <w:rPr>
          <w:rFonts w:asciiTheme="majorHAnsi" w:hAnsiTheme="majorHAnsi"/>
        </w:rPr>
        <w:t>Péan</w:t>
      </w:r>
      <w:proofErr w:type="spellEnd"/>
      <w:r w:rsidRPr="00632107">
        <w:rPr>
          <w:rFonts w:asciiTheme="majorHAnsi" w:hAnsiTheme="majorHAnsi"/>
        </w:rPr>
        <w:t xml:space="preserve">, R. </w:t>
      </w:r>
      <w:proofErr w:type="spellStart"/>
      <w:r w:rsidRPr="00632107">
        <w:rPr>
          <w:rFonts w:asciiTheme="majorHAnsi" w:hAnsiTheme="majorHAnsi"/>
        </w:rPr>
        <w:t>Pidcock</w:t>
      </w:r>
      <w:proofErr w:type="spellEnd"/>
      <w:r w:rsidRPr="00632107">
        <w:rPr>
          <w:rFonts w:asciiTheme="majorHAnsi" w:hAnsiTheme="majorHAnsi"/>
        </w:rPr>
        <w:t xml:space="preserve">, S. Connors, J.B.R. Matthews, Y. Chen, X. Zhou, M.I. </w:t>
      </w:r>
      <w:proofErr w:type="spellStart"/>
      <w:r w:rsidRPr="00632107">
        <w:rPr>
          <w:rFonts w:asciiTheme="majorHAnsi" w:hAnsiTheme="majorHAnsi"/>
        </w:rPr>
        <w:t>Gomis</w:t>
      </w:r>
      <w:proofErr w:type="spellEnd"/>
      <w:r w:rsidRPr="00632107">
        <w:rPr>
          <w:rFonts w:asciiTheme="majorHAnsi" w:hAnsiTheme="majorHAnsi"/>
        </w:rPr>
        <w:t xml:space="preserve">, E. </w:t>
      </w:r>
      <w:proofErr w:type="spellStart"/>
      <w:r w:rsidRPr="00632107">
        <w:rPr>
          <w:rFonts w:asciiTheme="majorHAnsi" w:hAnsiTheme="majorHAnsi"/>
        </w:rPr>
        <w:t>Lonnoy</w:t>
      </w:r>
      <w:proofErr w:type="spellEnd"/>
      <w:r w:rsidRPr="00632107">
        <w:rPr>
          <w:rFonts w:asciiTheme="majorHAnsi" w:hAnsiTheme="majorHAnsi"/>
        </w:rPr>
        <w:t xml:space="preserve">, T. </w:t>
      </w:r>
      <w:proofErr w:type="spellStart"/>
      <w:r w:rsidRPr="00632107">
        <w:rPr>
          <w:rFonts w:asciiTheme="majorHAnsi" w:hAnsiTheme="majorHAnsi"/>
        </w:rPr>
        <w:t>Maycock</w:t>
      </w:r>
      <w:proofErr w:type="spellEnd"/>
      <w:r w:rsidRPr="00632107">
        <w:rPr>
          <w:rFonts w:asciiTheme="majorHAnsi" w:hAnsiTheme="majorHAnsi"/>
        </w:rPr>
        <w:t xml:space="preserve">, M. </w:t>
      </w:r>
      <w:proofErr w:type="spellStart"/>
      <w:r w:rsidRPr="00632107">
        <w:rPr>
          <w:rFonts w:asciiTheme="majorHAnsi" w:hAnsiTheme="majorHAnsi"/>
        </w:rPr>
        <w:t>Tignor</w:t>
      </w:r>
      <w:proofErr w:type="spellEnd"/>
      <w:r w:rsidRPr="00632107">
        <w:rPr>
          <w:rFonts w:asciiTheme="majorHAnsi" w:hAnsiTheme="majorHAnsi"/>
        </w:rPr>
        <w:t>, and T. Waterfield (eds.)]. World Meteorological Organization, Geneva, Switzerland, 32 pp. https://www.ipcc.ch/sr15/chapter/summary-for-policy-makers/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Neue Light">
    <w:altName w:val="Times New Roman"/>
    <w:charset w:val="00"/>
    <w:family w:val="roman"/>
    <w:pitch w:val="default"/>
  </w:font>
  <w:font w:name="ヒラギノ角ゴ Pro W3">
    <w:altName w:val="Times New Roman"/>
    <w:charset w:val="00"/>
    <w:family w:val="roman"/>
    <w:pitch w:val="default"/>
  </w:font>
  <w:font w:name="System Font Regular">
    <w:altName w:val="Times New Roman"/>
    <w:charset w:val="00"/>
    <w:family w:val="roman"/>
    <w:pitch w:val="default"/>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40" w:rsidRDefault="001D0940" w:rsidP="00E81AB4">
      <w:pPr>
        <w:spacing w:after="0"/>
      </w:pPr>
      <w:r>
        <w:separator/>
      </w:r>
    </w:p>
  </w:footnote>
  <w:footnote w:type="continuationSeparator" w:id="0">
    <w:p w:rsidR="001D0940" w:rsidRDefault="001D0940" w:rsidP="00E81A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decimal"/>
      <w:isLgl/>
      <w:lvlText w:val="%1."/>
      <w:lvlJc w:val="left"/>
      <w:pPr>
        <w:tabs>
          <w:tab w:val="num" w:pos="360"/>
        </w:tabs>
        <w:ind w:left="360" w:firstLine="1040"/>
      </w:pPr>
      <w:rPr>
        <w:rFonts w:hint="default"/>
        <w:color w:val="000000"/>
        <w:position w:val="0"/>
        <w:sz w:val="22"/>
      </w:rPr>
    </w:lvl>
    <w:lvl w:ilvl="1">
      <w:start w:val="1"/>
      <w:numFmt w:val="lowerLetter"/>
      <w:lvlText w:val="%2."/>
      <w:lvlJc w:val="left"/>
      <w:pPr>
        <w:tabs>
          <w:tab w:val="num" w:pos="360"/>
        </w:tabs>
        <w:ind w:left="360" w:firstLine="1760"/>
      </w:pPr>
      <w:rPr>
        <w:rFonts w:hint="default"/>
        <w:color w:val="000000"/>
        <w:position w:val="0"/>
        <w:sz w:val="22"/>
      </w:rPr>
    </w:lvl>
    <w:lvl w:ilvl="2">
      <w:start w:val="1"/>
      <w:numFmt w:val="lowerRoman"/>
      <w:lvlText w:val="%3."/>
      <w:lvlJc w:val="left"/>
      <w:pPr>
        <w:tabs>
          <w:tab w:val="num" w:pos="391"/>
        </w:tabs>
        <w:ind w:left="391" w:firstLine="2449"/>
      </w:pPr>
      <w:rPr>
        <w:rFonts w:hint="default"/>
        <w:color w:val="000000"/>
        <w:position w:val="0"/>
        <w:sz w:val="22"/>
      </w:rPr>
    </w:lvl>
    <w:lvl w:ilvl="3">
      <w:start w:val="1"/>
      <w:numFmt w:val="decimal"/>
      <w:isLgl/>
      <w:lvlText w:val="%4."/>
      <w:lvlJc w:val="left"/>
      <w:pPr>
        <w:tabs>
          <w:tab w:val="num" w:pos="360"/>
        </w:tabs>
        <w:ind w:left="360" w:firstLine="3200"/>
      </w:pPr>
      <w:rPr>
        <w:rFonts w:hint="default"/>
        <w:color w:val="000000"/>
        <w:position w:val="0"/>
        <w:sz w:val="22"/>
      </w:rPr>
    </w:lvl>
    <w:lvl w:ilvl="4">
      <w:start w:val="1"/>
      <w:numFmt w:val="lowerLetter"/>
      <w:lvlText w:val="%5."/>
      <w:lvlJc w:val="left"/>
      <w:pPr>
        <w:tabs>
          <w:tab w:val="num" w:pos="360"/>
        </w:tabs>
        <w:ind w:left="360" w:firstLine="3920"/>
      </w:pPr>
      <w:rPr>
        <w:rFonts w:hint="default"/>
        <w:color w:val="000000"/>
        <w:position w:val="0"/>
        <w:sz w:val="22"/>
      </w:rPr>
    </w:lvl>
    <w:lvl w:ilvl="5">
      <w:start w:val="1"/>
      <w:numFmt w:val="lowerRoman"/>
      <w:lvlText w:val="%6."/>
      <w:lvlJc w:val="left"/>
      <w:pPr>
        <w:tabs>
          <w:tab w:val="num" w:pos="391"/>
        </w:tabs>
        <w:ind w:left="391" w:firstLine="4609"/>
      </w:pPr>
      <w:rPr>
        <w:rFonts w:hint="default"/>
        <w:color w:val="000000"/>
        <w:position w:val="0"/>
        <w:sz w:val="22"/>
      </w:rPr>
    </w:lvl>
    <w:lvl w:ilvl="6">
      <w:start w:val="1"/>
      <w:numFmt w:val="decimal"/>
      <w:isLgl/>
      <w:lvlText w:val="%7."/>
      <w:lvlJc w:val="left"/>
      <w:pPr>
        <w:tabs>
          <w:tab w:val="num" w:pos="360"/>
        </w:tabs>
        <w:ind w:left="360" w:firstLine="5360"/>
      </w:pPr>
      <w:rPr>
        <w:rFonts w:hint="default"/>
        <w:color w:val="000000"/>
        <w:position w:val="0"/>
        <w:sz w:val="22"/>
      </w:rPr>
    </w:lvl>
    <w:lvl w:ilvl="7">
      <w:start w:val="1"/>
      <w:numFmt w:val="lowerLetter"/>
      <w:lvlText w:val="%8."/>
      <w:lvlJc w:val="left"/>
      <w:pPr>
        <w:tabs>
          <w:tab w:val="num" w:pos="360"/>
        </w:tabs>
        <w:ind w:left="360" w:firstLine="6080"/>
      </w:pPr>
      <w:rPr>
        <w:rFonts w:hint="default"/>
        <w:color w:val="000000"/>
        <w:position w:val="0"/>
        <w:sz w:val="22"/>
      </w:rPr>
    </w:lvl>
    <w:lvl w:ilvl="8">
      <w:start w:val="1"/>
      <w:numFmt w:val="lowerRoman"/>
      <w:lvlText w:val="%9."/>
      <w:lvlJc w:val="left"/>
      <w:pPr>
        <w:tabs>
          <w:tab w:val="num" w:pos="211"/>
        </w:tabs>
        <w:ind w:left="211" w:firstLine="469"/>
      </w:pPr>
      <w:rPr>
        <w:rFonts w:hint="default"/>
        <w:color w:val="000000"/>
        <w:position w:val="0"/>
        <w:sz w:val="22"/>
      </w:rPr>
    </w:lvl>
  </w:abstractNum>
  <w:abstractNum w:abstractNumId="1">
    <w:nsid w:val="00000003"/>
    <w:multiLevelType w:val="multilevel"/>
    <w:tmpl w:val="894EE875"/>
    <w:lvl w:ilvl="0">
      <w:start w:val="1"/>
      <w:numFmt w:val="decimal"/>
      <w:isLgl/>
      <w:lvlText w:val="%1."/>
      <w:lvlJc w:val="left"/>
      <w:pPr>
        <w:tabs>
          <w:tab w:val="num" w:pos="360"/>
        </w:tabs>
        <w:ind w:left="360" w:firstLine="1040"/>
      </w:pPr>
      <w:rPr>
        <w:rFonts w:hint="default"/>
        <w:color w:val="000000"/>
        <w:position w:val="0"/>
        <w:sz w:val="22"/>
      </w:rPr>
    </w:lvl>
    <w:lvl w:ilvl="1">
      <w:start w:val="1"/>
      <w:numFmt w:val="lowerLetter"/>
      <w:lvlText w:val="%2."/>
      <w:lvlJc w:val="left"/>
      <w:pPr>
        <w:tabs>
          <w:tab w:val="num" w:pos="360"/>
        </w:tabs>
        <w:ind w:left="360" w:firstLine="1760"/>
      </w:pPr>
      <w:rPr>
        <w:rFonts w:hint="default"/>
        <w:color w:val="000000"/>
        <w:position w:val="0"/>
        <w:sz w:val="22"/>
      </w:rPr>
    </w:lvl>
    <w:lvl w:ilvl="2">
      <w:start w:val="1"/>
      <w:numFmt w:val="lowerRoman"/>
      <w:lvlText w:val="%3."/>
      <w:lvlJc w:val="left"/>
      <w:pPr>
        <w:tabs>
          <w:tab w:val="num" w:pos="391"/>
        </w:tabs>
        <w:ind w:left="391" w:firstLine="2449"/>
      </w:pPr>
      <w:rPr>
        <w:rFonts w:hint="default"/>
        <w:color w:val="000000"/>
        <w:position w:val="0"/>
        <w:sz w:val="22"/>
      </w:rPr>
    </w:lvl>
    <w:lvl w:ilvl="3">
      <w:start w:val="1"/>
      <w:numFmt w:val="decimal"/>
      <w:isLgl/>
      <w:lvlText w:val="%4."/>
      <w:lvlJc w:val="left"/>
      <w:pPr>
        <w:tabs>
          <w:tab w:val="num" w:pos="360"/>
        </w:tabs>
        <w:ind w:left="360" w:firstLine="3200"/>
      </w:pPr>
      <w:rPr>
        <w:rFonts w:hint="default"/>
        <w:color w:val="000000"/>
        <w:position w:val="0"/>
        <w:sz w:val="22"/>
      </w:rPr>
    </w:lvl>
    <w:lvl w:ilvl="4">
      <w:start w:val="1"/>
      <w:numFmt w:val="lowerLetter"/>
      <w:lvlText w:val="%5."/>
      <w:lvlJc w:val="left"/>
      <w:pPr>
        <w:tabs>
          <w:tab w:val="num" w:pos="360"/>
        </w:tabs>
        <w:ind w:left="360" w:firstLine="3920"/>
      </w:pPr>
      <w:rPr>
        <w:rFonts w:hint="default"/>
        <w:color w:val="000000"/>
        <w:position w:val="0"/>
        <w:sz w:val="22"/>
      </w:rPr>
    </w:lvl>
    <w:lvl w:ilvl="5">
      <w:start w:val="1"/>
      <w:numFmt w:val="lowerRoman"/>
      <w:lvlText w:val="%6."/>
      <w:lvlJc w:val="left"/>
      <w:pPr>
        <w:tabs>
          <w:tab w:val="num" w:pos="391"/>
        </w:tabs>
        <w:ind w:left="391" w:firstLine="4609"/>
      </w:pPr>
      <w:rPr>
        <w:rFonts w:hint="default"/>
        <w:color w:val="000000"/>
        <w:position w:val="0"/>
        <w:sz w:val="22"/>
      </w:rPr>
    </w:lvl>
    <w:lvl w:ilvl="6">
      <w:start w:val="1"/>
      <w:numFmt w:val="decimal"/>
      <w:isLgl/>
      <w:lvlText w:val="%7."/>
      <w:lvlJc w:val="left"/>
      <w:pPr>
        <w:tabs>
          <w:tab w:val="num" w:pos="360"/>
        </w:tabs>
        <w:ind w:left="360" w:firstLine="5360"/>
      </w:pPr>
      <w:rPr>
        <w:rFonts w:hint="default"/>
        <w:color w:val="000000"/>
        <w:position w:val="0"/>
        <w:sz w:val="22"/>
      </w:rPr>
    </w:lvl>
    <w:lvl w:ilvl="7">
      <w:start w:val="1"/>
      <w:numFmt w:val="lowerLetter"/>
      <w:lvlText w:val="%8."/>
      <w:lvlJc w:val="left"/>
      <w:pPr>
        <w:tabs>
          <w:tab w:val="num" w:pos="360"/>
        </w:tabs>
        <w:ind w:left="360" w:firstLine="6080"/>
      </w:pPr>
      <w:rPr>
        <w:rFonts w:hint="default"/>
        <w:color w:val="000000"/>
        <w:position w:val="0"/>
        <w:sz w:val="22"/>
      </w:rPr>
    </w:lvl>
    <w:lvl w:ilvl="8">
      <w:start w:val="1"/>
      <w:numFmt w:val="lowerRoman"/>
      <w:lvlText w:val="%9."/>
      <w:lvlJc w:val="left"/>
      <w:pPr>
        <w:tabs>
          <w:tab w:val="num" w:pos="211"/>
        </w:tabs>
        <w:ind w:left="211" w:firstLine="469"/>
      </w:pPr>
      <w:rPr>
        <w:rFonts w:hint="default"/>
        <w:color w:val="000000"/>
        <w:position w:val="0"/>
        <w:sz w:val="22"/>
      </w:rPr>
    </w:lvl>
  </w:abstractNum>
  <w:abstractNum w:abstractNumId="2">
    <w:nsid w:val="0D6D50C7"/>
    <w:multiLevelType w:val="hybridMultilevel"/>
    <w:tmpl w:val="3A483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F115D0"/>
    <w:multiLevelType w:val="hybridMultilevel"/>
    <w:tmpl w:val="CA7C7434"/>
    <w:lvl w:ilvl="0" w:tplc="9BDCE05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9269B9"/>
    <w:multiLevelType w:val="hybridMultilevel"/>
    <w:tmpl w:val="05E691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232F5A"/>
    <w:multiLevelType w:val="hybridMultilevel"/>
    <w:tmpl w:val="1BAE6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2D16EA"/>
    <w:multiLevelType w:val="hybridMultilevel"/>
    <w:tmpl w:val="25906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A6C711F"/>
    <w:multiLevelType w:val="hybridMultilevel"/>
    <w:tmpl w:val="19F64DDE"/>
    <w:lvl w:ilvl="0" w:tplc="5F4C6EAC">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3"/>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5A"/>
    <w:rsid w:val="000254D6"/>
    <w:rsid w:val="0004244B"/>
    <w:rsid w:val="00060A03"/>
    <w:rsid w:val="0007455E"/>
    <w:rsid w:val="000C30B2"/>
    <w:rsid w:val="00116CA3"/>
    <w:rsid w:val="001B0C39"/>
    <w:rsid w:val="001D0940"/>
    <w:rsid w:val="00204D5A"/>
    <w:rsid w:val="0021409F"/>
    <w:rsid w:val="002B61BA"/>
    <w:rsid w:val="002B78D6"/>
    <w:rsid w:val="002E2CA6"/>
    <w:rsid w:val="00310D52"/>
    <w:rsid w:val="00325437"/>
    <w:rsid w:val="00335A5F"/>
    <w:rsid w:val="003375F3"/>
    <w:rsid w:val="00345390"/>
    <w:rsid w:val="00395AB3"/>
    <w:rsid w:val="003D1F8D"/>
    <w:rsid w:val="003D576D"/>
    <w:rsid w:val="00427B1E"/>
    <w:rsid w:val="00442062"/>
    <w:rsid w:val="004B03F3"/>
    <w:rsid w:val="004E5F22"/>
    <w:rsid w:val="0054353F"/>
    <w:rsid w:val="005578D7"/>
    <w:rsid w:val="005B1BDC"/>
    <w:rsid w:val="005D7C7F"/>
    <w:rsid w:val="005F6489"/>
    <w:rsid w:val="00632107"/>
    <w:rsid w:val="00634385"/>
    <w:rsid w:val="0063732B"/>
    <w:rsid w:val="00660F44"/>
    <w:rsid w:val="006766F4"/>
    <w:rsid w:val="006C2866"/>
    <w:rsid w:val="007265A4"/>
    <w:rsid w:val="0074000F"/>
    <w:rsid w:val="00747968"/>
    <w:rsid w:val="00766771"/>
    <w:rsid w:val="00767D0D"/>
    <w:rsid w:val="00783C77"/>
    <w:rsid w:val="0079638A"/>
    <w:rsid w:val="007B0C9F"/>
    <w:rsid w:val="007C6409"/>
    <w:rsid w:val="00814BD4"/>
    <w:rsid w:val="008247C4"/>
    <w:rsid w:val="00827202"/>
    <w:rsid w:val="00833CCA"/>
    <w:rsid w:val="00870AD3"/>
    <w:rsid w:val="008F1CF0"/>
    <w:rsid w:val="0095621D"/>
    <w:rsid w:val="009568A9"/>
    <w:rsid w:val="00977134"/>
    <w:rsid w:val="009B64FA"/>
    <w:rsid w:val="009B72A8"/>
    <w:rsid w:val="009F5EB5"/>
    <w:rsid w:val="00A01604"/>
    <w:rsid w:val="00A01C80"/>
    <w:rsid w:val="00A15D7B"/>
    <w:rsid w:val="00A54F87"/>
    <w:rsid w:val="00A907D3"/>
    <w:rsid w:val="00AA21BB"/>
    <w:rsid w:val="00AE0DFC"/>
    <w:rsid w:val="00AE15C1"/>
    <w:rsid w:val="00B02F57"/>
    <w:rsid w:val="00B10460"/>
    <w:rsid w:val="00B55BED"/>
    <w:rsid w:val="00B5792F"/>
    <w:rsid w:val="00B90E06"/>
    <w:rsid w:val="00BA0B6C"/>
    <w:rsid w:val="00BA0FA2"/>
    <w:rsid w:val="00BC556C"/>
    <w:rsid w:val="00C27297"/>
    <w:rsid w:val="00C97714"/>
    <w:rsid w:val="00CB763F"/>
    <w:rsid w:val="00CC042A"/>
    <w:rsid w:val="00CF16F6"/>
    <w:rsid w:val="00D0335A"/>
    <w:rsid w:val="00D65D40"/>
    <w:rsid w:val="00D80506"/>
    <w:rsid w:val="00E00F4A"/>
    <w:rsid w:val="00E81AB4"/>
    <w:rsid w:val="00EB5EF0"/>
    <w:rsid w:val="00EC57EE"/>
    <w:rsid w:val="00EE3544"/>
    <w:rsid w:val="00EF71A7"/>
    <w:rsid w:val="00F0583E"/>
    <w:rsid w:val="00F37376"/>
    <w:rsid w:val="00F60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D5A"/>
    <w:pPr>
      <w:spacing w:after="0"/>
    </w:pPr>
  </w:style>
  <w:style w:type="paragraph" w:styleId="ListParagraph">
    <w:name w:val="List Paragraph"/>
    <w:basedOn w:val="Normal"/>
    <w:uiPriority w:val="34"/>
    <w:qFormat/>
    <w:rsid w:val="00D65D40"/>
    <w:pPr>
      <w:ind w:left="720"/>
      <w:contextualSpacing/>
    </w:pPr>
  </w:style>
  <w:style w:type="paragraph" w:styleId="EndnoteText">
    <w:name w:val="endnote text"/>
    <w:basedOn w:val="Normal"/>
    <w:link w:val="EndnoteTextChar"/>
    <w:uiPriority w:val="99"/>
    <w:semiHidden/>
    <w:unhideWhenUsed/>
    <w:rsid w:val="00E81AB4"/>
    <w:pPr>
      <w:spacing w:after="0"/>
    </w:pPr>
    <w:rPr>
      <w:sz w:val="20"/>
      <w:szCs w:val="20"/>
    </w:rPr>
  </w:style>
  <w:style w:type="character" w:customStyle="1" w:styleId="EndnoteTextChar">
    <w:name w:val="Endnote Text Char"/>
    <w:basedOn w:val="DefaultParagraphFont"/>
    <w:link w:val="EndnoteText"/>
    <w:uiPriority w:val="99"/>
    <w:semiHidden/>
    <w:rsid w:val="00E81AB4"/>
    <w:rPr>
      <w:sz w:val="20"/>
      <w:szCs w:val="20"/>
    </w:rPr>
  </w:style>
  <w:style w:type="character" w:styleId="EndnoteReference">
    <w:name w:val="endnote reference"/>
    <w:basedOn w:val="DefaultParagraphFont"/>
    <w:uiPriority w:val="99"/>
    <w:semiHidden/>
    <w:unhideWhenUsed/>
    <w:rsid w:val="00E81AB4"/>
    <w:rPr>
      <w:vertAlign w:val="superscript"/>
    </w:rPr>
  </w:style>
  <w:style w:type="paragraph" w:customStyle="1" w:styleId="9Endnote">
    <w:name w:val="9 Endnote"/>
    <w:rsid w:val="0054353F"/>
    <w:pPr>
      <w:spacing w:after="120"/>
    </w:pPr>
    <w:rPr>
      <w:rFonts w:ascii="Helvetica Neue Light" w:eastAsia="ヒラギノ角ゴ Pro W3" w:hAnsi="Helvetica Neue Light" w:cs="Times New Roman"/>
      <w:color w:val="1C1D1F"/>
      <w:sz w:val="22"/>
      <w:szCs w:val="20"/>
      <w:u w:color="26282A"/>
      <w:lang w:val="en-US" w:eastAsia="en-AU"/>
    </w:rPr>
  </w:style>
  <w:style w:type="character" w:customStyle="1" w:styleId="Hyperlink1">
    <w:name w:val="Hyperlink1"/>
    <w:rsid w:val="0054353F"/>
    <w:rPr>
      <w:color w:val="0000FE"/>
      <w:sz w:val="22"/>
      <w:u w:val="single"/>
    </w:rPr>
  </w:style>
  <w:style w:type="paragraph" w:customStyle="1" w:styleId="EndnoteText1">
    <w:name w:val="Endnote Text1"/>
    <w:rsid w:val="00B02F57"/>
    <w:pPr>
      <w:spacing w:after="0"/>
    </w:pPr>
    <w:rPr>
      <w:rFonts w:ascii="System Font Regular" w:eastAsia="ヒラギノ角ゴ Pro W3" w:hAnsi="System Font Regular" w:cs="Times New Roman"/>
      <w:color w:val="000000"/>
      <w:sz w:val="20"/>
      <w:szCs w:val="20"/>
      <w:lang w:eastAsia="en-AU"/>
    </w:rPr>
  </w:style>
  <w:style w:type="paragraph" w:customStyle="1" w:styleId="2Subhead">
    <w:name w:val="2. Subhead"/>
    <w:rsid w:val="00B02F57"/>
    <w:pPr>
      <w:spacing w:after="60" w:line="276" w:lineRule="auto"/>
    </w:pPr>
    <w:rPr>
      <w:rFonts w:ascii="Helvetica Neue" w:eastAsia="ヒラギノ角ゴ Pro W3" w:hAnsi="Helvetica Neue" w:cs="Times New Roman"/>
      <w:b/>
      <w:color w:val="000000"/>
      <w:sz w:val="22"/>
      <w:szCs w:val="20"/>
      <w:lang w:eastAsia="en-AU"/>
    </w:rPr>
  </w:style>
  <w:style w:type="character" w:customStyle="1" w:styleId="EndnoteReference1">
    <w:name w:val="Endnote Reference1"/>
    <w:rsid w:val="005B1BDC"/>
    <w:rPr>
      <w:color w:val="000000"/>
      <w:sz w:val="22"/>
      <w:vertAlign w:val="superscript"/>
    </w:rPr>
  </w:style>
  <w:style w:type="paragraph" w:customStyle="1" w:styleId="9EndnoteNumberedList">
    <w:name w:val="9. Endnote Numbered List"/>
    <w:rsid w:val="00766771"/>
    <w:pPr>
      <w:pBdr>
        <w:top w:val="none" w:sz="16" w:space="0" w:color="000000"/>
        <w:left w:val="none" w:sz="16" w:space="0" w:color="000000"/>
        <w:bottom w:val="none" w:sz="16" w:space="0" w:color="000000"/>
        <w:right w:val="none" w:sz="16" w:space="0" w:color="000000"/>
      </w:pBdr>
      <w:spacing w:after="120"/>
    </w:pPr>
    <w:rPr>
      <w:rFonts w:ascii="Helvetica Neue Light" w:eastAsia="ヒラギノ角ゴ Pro W3" w:hAnsi="Helvetica Neue Light" w:cs="Times New Roman"/>
      <w:i/>
      <w:color w:val="1C1D1F"/>
      <w:sz w:val="20"/>
      <w:szCs w:val="20"/>
      <w:u w:color="26282A"/>
      <w:lang w:val="en-US" w:eastAsia="en-AU"/>
    </w:rPr>
  </w:style>
  <w:style w:type="character" w:styleId="Hyperlink">
    <w:name w:val="Hyperlink"/>
    <w:basedOn w:val="DefaultParagraphFont"/>
    <w:uiPriority w:val="99"/>
    <w:unhideWhenUsed/>
    <w:rsid w:val="000254D6"/>
    <w:rPr>
      <w:color w:val="0000FF" w:themeColor="hyperlink"/>
      <w:u w:val="single"/>
    </w:rPr>
  </w:style>
  <w:style w:type="paragraph" w:customStyle="1" w:styleId="EndnoteText2">
    <w:name w:val="Endnote Text2"/>
    <w:rsid w:val="008F1CF0"/>
    <w:pPr>
      <w:spacing w:after="0"/>
    </w:pPr>
    <w:rPr>
      <w:rFonts w:ascii="System Font Regular" w:eastAsia="ヒラギノ角ゴ Pro W3" w:hAnsi="System Font Regular" w:cs="Times New Roman"/>
      <w:color w:val="000000"/>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D5A"/>
    <w:pPr>
      <w:spacing w:after="0"/>
    </w:pPr>
  </w:style>
  <w:style w:type="paragraph" w:styleId="ListParagraph">
    <w:name w:val="List Paragraph"/>
    <w:basedOn w:val="Normal"/>
    <w:uiPriority w:val="34"/>
    <w:qFormat/>
    <w:rsid w:val="00D65D40"/>
    <w:pPr>
      <w:ind w:left="720"/>
      <w:contextualSpacing/>
    </w:pPr>
  </w:style>
  <w:style w:type="paragraph" w:styleId="EndnoteText">
    <w:name w:val="endnote text"/>
    <w:basedOn w:val="Normal"/>
    <w:link w:val="EndnoteTextChar"/>
    <w:uiPriority w:val="99"/>
    <w:semiHidden/>
    <w:unhideWhenUsed/>
    <w:rsid w:val="00E81AB4"/>
    <w:pPr>
      <w:spacing w:after="0"/>
    </w:pPr>
    <w:rPr>
      <w:sz w:val="20"/>
      <w:szCs w:val="20"/>
    </w:rPr>
  </w:style>
  <w:style w:type="character" w:customStyle="1" w:styleId="EndnoteTextChar">
    <w:name w:val="Endnote Text Char"/>
    <w:basedOn w:val="DefaultParagraphFont"/>
    <w:link w:val="EndnoteText"/>
    <w:uiPriority w:val="99"/>
    <w:semiHidden/>
    <w:rsid w:val="00E81AB4"/>
    <w:rPr>
      <w:sz w:val="20"/>
      <w:szCs w:val="20"/>
    </w:rPr>
  </w:style>
  <w:style w:type="character" w:styleId="EndnoteReference">
    <w:name w:val="endnote reference"/>
    <w:basedOn w:val="DefaultParagraphFont"/>
    <w:uiPriority w:val="99"/>
    <w:semiHidden/>
    <w:unhideWhenUsed/>
    <w:rsid w:val="00E81AB4"/>
    <w:rPr>
      <w:vertAlign w:val="superscript"/>
    </w:rPr>
  </w:style>
  <w:style w:type="paragraph" w:customStyle="1" w:styleId="9Endnote">
    <w:name w:val="9 Endnote"/>
    <w:rsid w:val="0054353F"/>
    <w:pPr>
      <w:spacing w:after="120"/>
    </w:pPr>
    <w:rPr>
      <w:rFonts w:ascii="Helvetica Neue Light" w:eastAsia="ヒラギノ角ゴ Pro W3" w:hAnsi="Helvetica Neue Light" w:cs="Times New Roman"/>
      <w:color w:val="1C1D1F"/>
      <w:sz w:val="22"/>
      <w:szCs w:val="20"/>
      <w:u w:color="26282A"/>
      <w:lang w:val="en-US" w:eastAsia="en-AU"/>
    </w:rPr>
  </w:style>
  <w:style w:type="character" w:customStyle="1" w:styleId="Hyperlink1">
    <w:name w:val="Hyperlink1"/>
    <w:rsid w:val="0054353F"/>
    <w:rPr>
      <w:color w:val="0000FE"/>
      <w:sz w:val="22"/>
      <w:u w:val="single"/>
    </w:rPr>
  </w:style>
  <w:style w:type="paragraph" w:customStyle="1" w:styleId="EndnoteText1">
    <w:name w:val="Endnote Text1"/>
    <w:rsid w:val="00B02F57"/>
    <w:pPr>
      <w:spacing w:after="0"/>
    </w:pPr>
    <w:rPr>
      <w:rFonts w:ascii="System Font Regular" w:eastAsia="ヒラギノ角ゴ Pro W3" w:hAnsi="System Font Regular" w:cs="Times New Roman"/>
      <w:color w:val="000000"/>
      <w:sz w:val="20"/>
      <w:szCs w:val="20"/>
      <w:lang w:eastAsia="en-AU"/>
    </w:rPr>
  </w:style>
  <w:style w:type="paragraph" w:customStyle="1" w:styleId="2Subhead">
    <w:name w:val="2. Subhead"/>
    <w:rsid w:val="00B02F57"/>
    <w:pPr>
      <w:spacing w:after="60" w:line="276" w:lineRule="auto"/>
    </w:pPr>
    <w:rPr>
      <w:rFonts w:ascii="Helvetica Neue" w:eastAsia="ヒラギノ角ゴ Pro W3" w:hAnsi="Helvetica Neue" w:cs="Times New Roman"/>
      <w:b/>
      <w:color w:val="000000"/>
      <w:sz w:val="22"/>
      <w:szCs w:val="20"/>
      <w:lang w:eastAsia="en-AU"/>
    </w:rPr>
  </w:style>
  <w:style w:type="character" w:customStyle="1" w:styleId="EndnoteReference1">
    <w:name w:val="Endnote Reference1"/>
    <w:rsid w:val="005B1BDC"/>
    <w:rPr>
      <w:color w:val="000000"/>
      <w:sz w:val="22"/>
      <w:vertAlign w:val="superscript"/>
    </w:rPr>
  </w:style>
  <w:style w:type="paragraph" w:customStyle="1" w:styleId="9EndnoteNumberedList">
    <w:name w:val="9. Endnote Numbered List"/>
    <w:rsid w:val="00766771"/>
    <w:pPr>
      <w:pBdr>
        <w:top w:val="none" w:sz="16" w:space="0" w:color="000000"/>
        <w:left w:val="none" w:sz="16" w:space="0" w:color="000000"/>
        <w:bottom w:val="none" w:sz="16" w:space="0" w:color="000000"/>
        <w:right w:val="none" w:sz="16" w:space="0" w:color="000000"/>
      </w:pBdr>
      <w:spacing w:after="120"/>
    </w:pPr>
    <w:rPr>
      <w:rFonts w:ascii="Helvetica Neue Light" w:eastAsia="ヒラギノ角ゴ Pro W3" w:hAnsi="Helvetica Neue Light" w:cs="Times New Roman"/>
      <w:i/>
      <w:color w:val="1C1D1F"/>
      <w:sz w:val="20"/>
      <w:szCs w:val="20"/>
      <w:u w:color="26282A"/>
      <w:lang w:val="en-US" w:eastAsia="en-AU"/>
    </w:rPr>
  </w:style>
  <w:style w:type="character" w:styleId="Hyperlink">
    <w:name w:val="Hyperlink"/>
    <w:basedOn w:val="DefaultParagraphFont"/>
    <w:uiPriority w:val="99"/>
    <w:unhideWhenUsed/>
    <w:rsid w:val="000254D6"/>
    <w:rPr>
      <w:color w:val="0000FF" w:themeColor="hyperlink"/>
      <w:u w:val="single"/>
    </w:rPr>
  </w:style>
  <w:style w:type="paragraph" w:customStyle="1" w:styleId="EndnoteText2">
    <w:name w:val="Endnote Text2"/>
    <w:rsid w:val="008F1CF0"/>
    <w:pPr>
      <w:spacing w:after="0"/>
    </w:pPr>
    <w:rPr>
      <w:rFonts w:ascii="System Font Regular" w:eastAsia="ヒラギノ角ゴ Pro W3" w:hAnsi="System Font Regular" w:cs="Times New Roman"/>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blog.oeko.de/erosion-of-european-sustainability-requirements-for-bioenergy/" TargetMode="External"/><Relationship Id="rId3" Type="http://schemas.openxmlformats.org/officeDocument/2006/relationships/hyperlink" Target="https://www.ipcc.c/summary-for-policy-makers/" TargetMode="External"/><Relationship Id="rId7" Type="http://schemas.openxmlformats.org/officeDocument/2006/relationships/hyperlink" Target="https://doi.org/10.1038/s41559-018-0659-3" TargetMode="External"/><Relationship Id="rId2" Type="http://schemas.openxmlformats.org/officeDocument/2006/relationships/hyperlink" Target="https://www.nature.com/articles/s41558-019-0426-8" TargetMode="External"/><Relationship Id="rId1" Type="http://schemas.openxmlformats.org/officeDocument/2006/relationships/hyperlink" Target="https://www.researchgate.net/publication/326876618_Trajectories_of_the_Earth_System_in_the_Anthropocene" TargetMode="External"/><Relationship Id="rId6" Type="http://schemas.openxmlformats.org/officeDocument/2006/relationships/hyperlink" Target="http://ase.tufts.edu/gdae/Pubs/climate/ClimatePolicyBrief7.pdf" TargetMode="External"/><Relationship Id="rId5" Type="http://schemas.openxmlformats.org/officeDocument/2006/relationships/hyperlink" Target="https://www.birdlife.org/europe-and-central-asia/black-book" TargetMode="External"/><Relationship Id="rId4" Type="http://schemas.openxmlformats.org/officeDocument/2006/relationships/hyperlink" Target="http://ase.tufts.edu/gdae/Pubs/climate/ClimatePolicyBrief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FAC5-E695-40A5-8DA1-0357B76A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frances</cp:lastModifiedBy>
  <cp:revision>2</cp:revision>
  <dcterms:created xsi:type="dcterms:W3CDTF">2019-05-07T04:34:00Z</dcterms:created>
  <dcterms:modified xsi:type="dcterms:W3CDTF">2019-05-07T04:34:00Z</dcterms:modified>
</cp:coreProperties>
</file>